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秦皇岛市行政审批局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700" w:lineRule="exact"/>
        <w:ind w:left="0" w:firstLine="0"/>
        <w:jc w:val="center"/>
        <w:textAlignment w:val="auto"/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关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  <w:lang w:val="en-US" w:eastAsia="zh-CN"/>
        </w:rPr>
        <w:t>于中央空调机组改造工程</w:t>
      </w: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核准的批复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700" w:lineRule="exact"/>
        <w:jc w:val="left"/>
        <w:textAlignment w:val="auto"/>
        <w:rPr>
          <w:rFonts w:ascii="仿宋_GB2312" w:eastAsia="仿宋_GB2312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河北港口集团有限公司秦皇岛中西医结合医院: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你单位报送的</w:t>
      </w:r>
      <w:r>
        <w:rPr>
          <w:rFonts w:cs="仿宋_GB2312" w:hAnsi="仿宋_GB2312" w:hint="eastAsia"/>
          <w:kern w:val="0"/>
          <w:sz w:val="32"/>
          <w:szCs w:val="32"/>
          <w:lang w:val="en-US" w:eastAsia="zh-CN" w:bidi="ar-SA"/>
        </w:rPr>
        <w:t>秦皇岛久佳工程项目管理有限公司编制的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《中央空调机组改造工程项目申请报告》等材料收悉。依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据</w:t>
      </w:r>
      <w:r>
        <w:rPr>
          <w:rFonts w:cs="仿宋_GB2312" w:hAnsi="仿宋_GB2312" w:hint="eastAsia"/>
          <w:kern w:val="0"/>
          <w:sz w:val="32"/>
          <w:szCs w:val="32"/>
          <w:lang w:eastAsia="zh-CN"/>
        </w:rPr>
        <w:t>市自然资源和规划局《关于中央空调机组改造工程项目用地预审与选址意见书的复函》（无需办理用地预审与选址意见书）及海港区发改局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《</w:t>
      </w:r>
      <w:r>
        <w:rPr>
          <w:rFonts w:cs="仿宋_GB2312" w:hAnsi="仿宋_GB2312" w:hint="eastAsia"/>
          <w:kern w:val="0"/>
          <w:sz w:val="32"/>
          <w:szCs w:val="32"/>
          <w:lang w:eastAsia="zh-CN"/>
        </w:rPr>
        <w:t>固定资产投资项目社会稳定风险踏勘意见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》（</w:t>
      </w:r>
      <w:r>
        <w:rPr>
          <w:rFonts w:cs="仿宋_GB2312" w:hAnsi="仿宋_GB2312" w:hint="eastAsia"/>
          <w:kern w:val="0"/>
          <w:sz w:val="32"/>
          <w:szCs w:val="32"/>
          <w:lang w:eastAsia="zh-CN"/>
        </w:rPr>
        <w:t>同意该项目无需做社会稳定风险评估报告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）</w:t>
      </w:r>
      <w:r>
        <w:rPr>
          <w:rFonts w:cs="仿宋_GB2312" w:hAnsi="仿宋_GB2312" w:hint="eastAsia"/>
          <w:kern w:val="0"/>
          <w:sz w:val="32"/>
          <w:szCs w:val="32"/>
          <w:lang w:eastAsia="zh-CN"/>
        </w:rPr>
        <w:t>，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经研究，原则同意该项目申请报告。现就该项目核准事项批复如下：</w:t>
      </w:r>
    </w:p>
    <w:p>
      <w:pPr>
        <w:pStyle w:val="4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firstLineChars="200" w:firstLine="640"/>
        <w:jc w:val="both"/>
        <w:textAlignment w:val="auto"/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同意建设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中央空调机组改造工程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。建设单位为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河北港口集团有限公司秦皇岛中西医结合医院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。</w:t>
      </w: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二、工程建设地点：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河北港口集团有限公司秦皇岛中西医结合医院院内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三、工程主要建设内容及规模：拟对中央空调机组进行改造：更换变频螺杆机组三台（包括旧机组拆除、运输及新机组拆装、管线改造和调试），更换冷冻水循环泵四台、冷却水循环泵两台、采暖循环泵三台，将三台冷却塔交流异步电机更换为永磁电机，所有设备均改为变频控制运行，采用远程智能控制平台一套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。</w:t>
      </w: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四、项目估算总投资为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/>
        </w:rPr>
        <w:t>870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万元；资金来源为自筹。</w:t>
      </w:r>
    </w:p>
    <w:p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五、项目招标按相关法律法规及经核准的招标方案执行。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 w:firstLine="640"/>
        <w:jc w:val="both"/>
        <w:textAlignment w:val="auto"/>
        <w:outlineLvl w:val="9"/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六、如需对本项目核准文件所批复的有关内容进行调整，请按照相关规定及时以书面形式按程序申请；本核准文件自印发之日起2年内未开工建设，需要延期开工建设的，应当在2年期限届满的30个工作日前申请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 w:firstLine="640"/>
        <w:textAlignment w:val="auto"/>
        <w:outlineLvl w:val="9"/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七、请建设单位根据相关规定抓紧办理相关手续，并通过河北省投资项目在线审批监管平台及时、如实报送项目开工建设、建设进度、竣工等方面的基本信息。主动接受发改、住建、资规、综合行政执法、卫健、统计等部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420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firstLine="420"/>
        <w:textAlignment w:val="auto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  <w:tab/>
        <w:t xml:space="preserve">                        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00" w:lineRule="exact"/>
        <w:ind w:firstLineChars="20" w:firstLine="64"/>
        <w:rPr>
          <w:rFonts w:hint="eastAsia"/>
          <w:lang w:val="en-US" w:eastAsia="zh-CN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cs="仿宋_GB2312" w:hAnsi="仿宋_GB2312" w:hint="eastAsia"/>
          <w:sz w:val="32"/>
          <w:szCs w:val="32"/>
          <w:lang w:eastAsia="zh-CN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803275</wp:posOffset>
            </wp:positionH>
            <wp:positionV relativeFrom="paragraph">
              <wp:posOffset>8916670</wp:posOffset>
            </wp:positionV>
            <wp:extent cx="1736724" cy="720089"/>
            <wp:effectExtent l="0" t="0" r="0" b="0"/>
            <wp:wrapNone/>
            <wp:docPr id="1" name="图片 1" descr="2311-130300-89-01-96782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6724" cy="720089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202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lang w:val="en-US" w:eastAsia="zh-CN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日</w:t>
      </w:r>
      <w:bookmarkStart w:id="0" w:name="_GoBack"/>
      <w:bookmarkEnd w:id="0"/>
    </w:p>
    <w:sectPr>
      <w:headerReference w:type="default" r:id="rId2"/>
      <w:headerReference w:type="even" r:id="rId3"/>
      <w:footerReference w:type="default" r:id="rId4"/>
      <w:footerReference w:type="even" r:id="rId5"/>
      <w:pgSz w:w="11906" w:h="16838"/>
      <w:pgMar w:top="2098" w:right="1644" w:bottom="1985" w:left="1644" w:header="851" w:footer="1418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variable"/>
    <w:sig w:usb0="E10002FF" w:usb1="4000FCFF" w:usb2="00000009" w:usb3="00000000" w:csb0="6000019F" w:csb1="DF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1321" w:hRule="exact" w:h="357" w:wrap="around" w:vAnchor="page" w:hAnchor="page" w:x="9130" w:y="15083" w:anchorLock="0"/>
      <w:tabs>
        <w:tab w:val="center" w:pos="4153"/>
        <w:tab w:val="right" w:pos="8306"/>
      </w:tabs>
      <w:rPr>
        <w:rStyle w:val="24"/>
        <w:rFonts w:hint="eastAsia"/>
        <w:sz w:val="28"/>
      </w:rPr>
    </w:pPr>
    <w:r>
      <w:rPr>
        <w:rStyle w:val="24"/>
        <w:rFonts w:hint="eastAsia"/>
        <w:sz w:val="28"/>
      </w:rPr>
      <w:t>—</w:t>
    </w:r>
    <w:r>
      <w:rPr>
        <w:rStyle w:val="24"/>
        <w:sz w:val="28"/>
      </w:rPr>
      <w:t xml:space="preserve"> </w:t>
    </w:r>
    <w:r>
      <w:rPr>
        <w:rStyle w:val="24"/>
        <w:sz w:val="28"/>
      </w:rPr>
      <w:fldChar w:fldCharType="begin"/>
    </w:r>
    <w:r>
      <w:rPr>
        <w:rStyle w:val="2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24"/>
        <w:sz w:val="28"/>
        <w:lang w:val="en-US" w:eastAsia="zh-CN"/>
      </w:rPr>
      <w:t>1</w:t>
    </w:r>
    <w:r>
      <w:rPr>
        <w:sz w:val="28"/>
      </w:rPr>
      <w:fldChar w:fldCharType="end"/>
    </w:r>
    <w:r>
      <w:rPr>
        <w:rStyle w:val="24"/>
        <w:sz w:val="28"/>
      </w:rPr>
      <w:t xml:space="preserve"> </w:t>
    </w:r>
    <w:r>
      <w:rPr>
        <w:rStyle w:val="24"/>
        <w:rFonts w:hint="eastAsia"/>
        <w:sz w:val="28"/>
      </w:rPr>
      <w:t>—</w:t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1321" w:hRule="exact" w:h="357" w:wrap="around" w:vAnchor="page" w:hAnchor="page" w:x="1849" w:y="15083" w:anchorLock="0"/>
      <w:tabs>
        <w:tab w:val="center" w:pos="4153"/>
        <w:tab w:val="right" w:pos="8306"/>
      </w:tabs>
      <w:rPr>
        <w:rStyle w:val="24"/>
        <w:rFonts w:hint="eastAsia"/>
        <w:sz w:val="28"/>
      </w:rPr>
    </w:pPr>
    <w:r>
      <w:rPr>
        <w:rStyle w:val="24"/>
        <w:rFonts w:hint="eastAsia"/>
        <w:sz w:val="28"/>
      </w:rPr>
      <w:t>—</w:t>
    </w:r>
    <w:r>
      <w:rPr>
        <w:rStyle w:val="24"/>
        <w:sz w:val="28"/>
      </w:rPr>
      <w:t xml:space="preserve"> </w:t>
    </w:r>
    <w:r>
      <w:rPr>
        <w:rStyle w:val="24"/>
        <w:sz w:val="28"/>
      </w:rPr>
      <w:fldChar w:fldCharType="begin"/>
    </w:r>
    <w:r>
      <w:rPr>
        <w:rStyle w:val="2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24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24"/>
        <w:sz w:val="28"/>
      </w:rPr>
      <w:t xml:space="preserve"> </w:t>
    </w:r>
    <w:r>
      <w:rPr>
        <w:rStyle w:val="24"/>
        <w:rFonts w:hint="eastAsia"/>
        <w:sz w:val="28"/>
      </w:rPr>
      <w:t>—</w:t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93881BF8"/>
    <w:multiLevelType w:val="singleLevel"/>
    <w:tmpl w:val="93881BF8"/>
    <w:lvl w:ilvl="0">
      <w:start w:val="1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5"/>
  <w:bordersDoNotSurroundHeader w:val="0"/>
  <w:bordersDoNotSurroundFooter w:val="0"/>
  <w:documentProtection w:edit="readOnly" w:enforcement="0"/>
  <w:defaultTabStop w:val="425"/>
  <w:evenAndOddHeaders/>
  <w:mirrorMargins/>
  <w:drawingGridHorizontalSpacing w:val="105"/>
  <w:drawingGridVerticalSpacing w:val="156"/>
  <w:displayHorizontalDrawingGridEvery w:val="1"/>
  <w:displayVerticalDrawingGridEvery w:val="1"/>
  <w:doNotShadeFormData/>
  <w:noPunctuationKerning/>
  <w:characterSpacingControl w:val="compressPunctuation"/>
  <w:compat>
    <w:spaceForUL/>
    <w:balanceSingleByteDoubleByteWidth/>
    <w:ulTrailSpace/>
    <w:doNotExpandShiftReturn/>
    <w:doNotUseIndentAsNumberingTabStop/>
    <w:compatSetting w:name="compatibilityMode" w:uri="http://schemas.microsoft.com/office/word" w:val="15"/>
  </w:compat>
  <w:docVars>
    <w:docVar w:name="commondata" w:val="eyJoZGlkIjoiNDFlYjg5MjQ5MDlmNjRmMDIyMWVmYWZmMjAzNjNjZjMifQ=="/>
    <w:docVar w:name="fieldCopyNum" w:val="0000001"/>
    <w:docVar w:name="fieldSecreteDeg" w:val="绝密"/>
    <w:docVar w:name="fieldSecreteLen" w:val="★一年"/>
    <w:docVar w:name="fieldUrgencyDeg" w:val="特  急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caption"/>
    <w:basedOn w:val="0"/>
    <w:autoRedefine/>
    <w:next w:val="0"/>
    <w:pPr>
      <w:spacing w:before="152" w:after="160"/>
    </w:pPr>
    <w:rPr>
      <w:rFonts w:ascii="Arial" w:eastAsia="黑体" w:hAnsi="Arial"/>
    </w:rPr>
  </w:style>
  <w:style w:type="paragraph" w:styleId="16">
    <w:name w:val="Body Text Indent"/>
    <w:basedOn w:val="0"/>
    <w:autoRedefine/>
    <w:pPr>
      <w:ind w:firstLine="630"/>
    </w:pPr>
    <w:rPr>
      <w:rFonts w:ascii="仿宋_GB2312" w:eastAsia="仿宋_GB2312"/>
      <w:sz w:val="32"/>
    </w:rPr>
  </w:style>
  <w:style w:type="paragraph" w:styleId="17">
    <w:name w:val="Date"/>
    <w:basedOn w:val="0"/>
    <w:autoRedefine/>
    <w:next w:val="0"/>
    <w:rPr>
      <w:rFonts w:ascii="仿宋_GB2312" w:eastAsia="仿宋_GB2312"/>
      <w:sz w:val="32"/>
    </w:rPr>
  </w:style>
  <w:style w:type="paragraph" w:styleId="18">
    <w:name w:val="Body Text Indent 2"/>
    <w:basedOn w:val="0"/>
    <w:autoRedefine/>
    <w:pPr>
      <w:spacing w:after="120" w:line="480" w:lineRule="auto"/>
      <w:ind w:leftChars="200" w:left="200"/>
    </w:pPr>
  </w:style>
  <w:style w:type="paragraph" w:styleId="19">
    <w:name w:val="Balloon Text"/>
    <w:basedOn w:val="0"/>
    <w:autoRedefine/>
    <w:rPr>
      <w:sz w:val="18"/>
      <w:szCs w:val="18"/>
    </w:rPr>
  </w:style>
  <w:style w:type="paragraph" w:styleId="20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Body Text Indent 3"/>
    <w:basedOn w:val="0"/>
    <w:autoRedefine/>
    <w:pPr>
      <w:spacing w:after="120"/>
      <w:ind w:leftChars="200" w:left="200"/>
    </w:pPr>
    <w:rPr>
      <w:sz w:val="16"/>
      <w:szCs w:val="16"/>
    </w:rPr>
  </w:style>
  <w:style w:type="character" w:styleId="23">
    <w:name w:val="Strong"/>
    <w:basedOn w:val="10"/>
    <w:autoRedefine/>
    <w:rPr>
      <w:b/>
    </w:rPr>
  </w:style>
  <w:style w:type="character" w:styleId="24">
    <w:name w:val="page number"/>
    <w:basedOn w:val="10"/>
    <w:autoRedefine/>
  </w:style>
  <w:style w:type="character" w:styleId="25">
    <w:name w:val="FollowedHyperlink"/>
    <w:basedOn w:val="10"/>
    <w:autoRedefine/>
    <w:rPr>
      <w:color w:val="333333"/>
      <w:u w:val="none"/>
    </w:rPr>
  </w:style>
  <w:style w:type="character" w:styleId="26">
    <w:name w:val="HTML Definition"/>
    <w:basedOn w:val="10"/>
    <w:autoRedefine/>
    <w:rPr>
      <w:i/>
    </w:rPr>
  </w:style>
  <w:style w:type="character" w:styleId="27">
    <w:name w:val="Hyperlink"/>
    <w:basedOn w:val="10"/>
    <w:autoRedefine/>
    <w:rPr>
      <w:color w:val="333333"/>
      <w:u w:val="none"/>
    </w:rPr>
  </w:style>
  <w:style w:type="character" w:styleId="28">
    <w:name w:val="HTML Code"/>
    <w:basedOn w:val="10"/>
    <w:autoRedefine/>
    <w:rPr>
      <w:rFonts w:ascii="Consolas" w:eastAsia="Consolas" w:cs="Consolas" w:hAnsi="Consolas"/>
      <w:color w:val="37474F"/>
      <w:sz w:val="21"/>
      <w:szCs w:val="21"/>
      <w:shd w:val="clear" w:color="auto" w:fill="F3F5F7"/>
    </w:rPr>
  </w:style>
  <w:style w:type="character" w:styleId="29">
    <w:name w:val="HTML Cite"/>
    <w:basedOn w:val="10"/>
    <w:autoRedefine/>
  </w:style>
  <w:style w:type="character" w:styleId="30">
    <w:name w:val="HTML Keyboard"/>
    <w:basedOn w:val="10"/>
    <w:autoRedefine/>
    <w:rPr>
      <w:rFonts w:ascii="Consolas" w:eastAsia="Consolas" w:cs="Consolas" w:hAnsi="Consolas"/>
      <w:b/>
      <w:color w:val="666666"/>
      <w:sz w:val="21"/>
      <w:szCs w:val="21"/>
      <w:bdr w:val="single" w:sz="6" w:space="0" w:color="D7D7D7"/>
      <w:shd w:val="clear" w:color="auto" w:fill="F1F1F1"/>
    </w:rPr>
  </w:style>
  <w:style w:type="character" w:styleId="31">
    <w:name w:val="HTML Sample"/>
    <w:basedOn w:val="10"/>
    <w:autoRedefine/>
    <w:rPr>
      <w:rFonts w:ascii="Consolas" w:eastAsia="Consolas" w:cs="Consolas" w:hAnsi="Consolas"/>
      <w:sz w:val="21"/>
      <w:szCs w:val="21"/>
    </w:rPr>
  </w:style>
  <w:style w:type="character" w:customStyle="1" w:styleId="32">
    <w:name w:val="layui-laypage-curr"/>
    <w:basedOn w:val="10"/>
    <w:autoRedefine/>
  </w:style>
  <w:style w:type="character" w:customStyle="1" w:styleId="33">
    <w:name w:val="first-child"/>
    <w:basedOn w:val="10"/>
    <w:autoRedefine/>
  </w:style>
  <w:style w:type="character" w:customStyle="1" w:styleId="34">
    <w:name w:val="hover16"/>
    <w:basedOn w:val="10"/>
    <w:autoRedefine/>
    <w:rPr>
      <w:color w:val="FFFFFF"/>
    </w:rPr>
  </w:style>
  <w:style w:type="character" w:customStyle="1" w:styleId="35">
    <w:name w:val="button"/>
    <w:basedOn w:val="10"/>
    <w:autoRedefine/>
  </w:style>
  <w:style w:type="character" w:customStyle="1" w:styleId="36">
    <w:name w:val="layui-this"/>
    <w:basedOn w:val="10"/>
    <w:autoRedefine/>
    <w:rPr>
      <w:bdr w:val="single" w:sz="6" w:space="0" w:color="EEEEEE"/>
      <w:shd w:val="clear" w:color="auto" w:fill="FFFFFF"/>
    </w:rPr>
  </w:style>
  <w:style w:type="character" w:customStyle="1" w:styleId="37">
    <w:name w:val="hover15"/>
    <w:basedOn w:val="10"/>
    <w:autoRedefine/>
    <w:rPr>
      <w:color w:val="5FB878"/>
    </w:rPr>
  </w:style>
  <w:style w:type="character" w:customStyle="1" w:styleId="38">
    <w:name w:val="hover17"/>
    <w:basedOn w:val="10"/>
    <w:autoRedefine/>
    <w:rPr>
      <w:color w:val="5FB878"/>
    </w:rPr>
  </w:style>
  <w:style w:type="character" w:customStyle="1" w:styleId="39">
    <w:name w:val="tmpztreemove_arrow"/>
    <w:basedOn w:val="10"/>
    <w:autoRedefine/>
  </w:style>
  <w:style w:type="paragraph" w:customStyle="1" w:styleId="40">
    <w:name w:val="样式 首行缩进:  2 字符"/>
    <w:basedOn w:val="0"/>
    <w:autoRedefine/>
    <w:pPr>
      <w:spacing w:line="360" w:lineRule="auto"/>
      <w:ind w:firstLineChars="200" w:firstLine="200"/>
    </w:pPr>
    <w:rPr>
      <w:rFonts w:ascii="宋体" w:cs="宋体"/>
      <w:sz w:val="24"/>
    </w:rPr>
  </w:style>
  <w:style w:type="paragraph" w:customStyle="1" w:styleId="41">
    <w:name w:val="Body Text Indent"/>
    <w:basedOn w:val="0"/>
    <w:autoRedefine/>
    <w:pPr>
      <w:ind w:firstLine="63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2.png"/><Relationship Id="rId7" Type="http://schemas.openxmlformats.org/officeDocument/2006/relationships/styles" Target="styl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C798493-296D-4295-8BC1-53BE37D21F9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2</Pages>
  <Words>0</Words>
  <Characters>603</Characters>
  <Lines>0</Lines>
  <Paragraphs>15</Paragraphs>
  <CharactersWithSpaces>805</CharactersWithSpaces>
  <Company>个人电脑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0000001</dc:title>
  <dc:creator>JadeFeather</dc:creator>
  <cp:lastModifiedBy>Administrator</cp:lastModifiedBy>
  <cp:revision>15</cp:revision>
  <cp:lastPrinted>2024-05-27T08:47:00Z</cp:lastPrinted>
  <dcterms:created xsi:type="dcterms:W3CDTF">2023-10-11T09:03:00Z</dcterms:created>
  <dcterms:modified xsi:type="dcterms:W3CDTF">2024-06-05T09:06:28Z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05F965B7AD234EC7BC94938AFF7E2576</vt:lpwstr>
  </property>
</Properties>
</file>