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Theme="majorEastAsia" w:hAnsiTheme="majorEastAsia" w:eastAsiaTheme="majorEastAsia" w:cstheme="majorEastAsia"/>
          <w:b w:val="0"/>
          <w:bCs/>
          <w:color w:val="auto"/>
          <w:sz w:val="44"/>
          <w:szCs w:val="44"/>
          <w:lang w:val="en-US" w:eastAsia="zh-CN"/>
        </w:rPr>
      </w:pPr>
      <w:r>
        <w:rPr>
          <w:rStyle w:val="9"/>
          <w:rFonts w:hint="eastAsia" w:asciiTheme="majorEastAsia" w:hAnsiTheme="majorEastAsia" w:eastAsiaTheme="majorEastAsia" w:cstheme="majorEastAsia"/>
          <w:b w:val="0"/>
          <w:bCs/>
          <w:color w:val="auto"/>
          <w:sz w:val="44"/>
          <w:szCs w:val="44"/>
        </w:rPr>
        <w:t>秦皇岛市</w:t>
      </w:r>
      <w:r>
        <w:rPr>
          <w:rStyle w:val="9"/>
          <w:rFonts w:hint="eastAsia" w:asciiTheme="majorEastAsia" w:hAnsiTheme="majorEastAsia" w:eastAsiaTheme="majorEastAsia" w:cstheme="majorEastAsia"/>
          <w:b w:val="0"/>
          <w:bCs/>
          <w:color w:val="auto"/>
          <w:sz w:val="44"/>
          <w:szCs w:val="44"/>
          <w:lang w:val="en-US" w:eastAsia="zh-CN"/>
        </w:rPr>
        <w:t>商贸国有资产投资经营有限公司2022年度信息公开报告</w:t>
      </w:r>
    </w:p>
    <w:p>
      <w:pPr>
        <w:numPr>
          <w:ilvl w:val="0"/>
          <w:numId w:val="0"/>
        </w:numPr>
        <w:ind w:firstLine="640" w:firstLineChars="200"/>
        <w:rPr>
          <w:rStyle w:val="9"/>
          <w:rFonts w:hint="eastAsia"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val="en-US" w:eastAsia="zh-CN"/>
        </w:rPr>
        <w:t>一、基本情况</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Style w:val="9"/>
          <w:rFonts w:hint="eastAsia" w:ascii="楷体_GB2312" w:hAnsi="楷体_GB2312" w:eastAsia="楷体_GB2312" w:cs="楷体_GB2312"/>
          <w:color w:val="auto"/>
          <w:sz w:val="32"/>
          <w:szCs w:val="32"/>
          <w:lang w:val="en-US" w:eastAsia="zh-CN"/>
        </w:rPr>
      </w:pPr>
      <w:r>
        <w:rPr>
          <w:rStyle w:val="9"/>
          <w:rFonts w:hint="eastAsia" w:ascii="楷体_GB2312" w:hAnsi="楷体_GB2312" w:eastAsia="楷体_GB2312" w:cs="楷体_GB2312"/>
          <w:color w:val="auto"/>
          <w:sz w:val="32"/>
          <w:szCs w:val="32"/>
          <w:lang w:val="en-US" w:eastAsia="zh-CN"/>
        </w:rPr>
        <w:t>企业简介</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Style w:val="9"/>
          <w:rFonts w:hint="eastAsia" w:ascii="仿宋_GB2312" w:eastAsia="仿宋_GB2312"/>
          <w:color w:val="auto"/>
          <w:sz w:val="32"/>
          <w:szCs w:val="32"/>
          <w:lang w:val="en-US" w:eastAsia="zh-CN"/>
        </w:rPr>
      </w:pPr>
      <w:r>
        <w:rPr>
          <w:rStyle w:val="9"/>
          <w:rFonts w:ascii="仿宋_GB2312" w:eastAsia="仿宋_GB2312"/>
          <w:color w:val="auto"/>
          <w:sz w:val="32"/>
          <w:szCs w:val="32"/>
        </w:rPr>
        <w:t>秦皇岛市商贸国有资产投资经营有限公司（以下简称商投公司）是2001年经市政府批准，在</w:t>
      </w:r>
      <w:r>
        <w:rPr>
          <w:rStyle w:val="9"/>
          <w:rFonts w:hint="eastAsia" w:ascii="仿宋_GB2312" w:eastAsia="仿宋_GB2312"/>
          <w:color w:val="auto"/>
          <w:sz w:val="32"/>
          <w:szCs w:val="32"/>
        </w:rPr>
        <w:t>原</w:t>
      </w:r>
      <w:r>
        <w:rPr>
          <w:rStyle w:val="9"/>
          <w:rFonts w:ascii="仿宋_GB2312" w:eastAsia="仿宋_GB2312"/>
          <w:color w:val="auto"/>
          <w:sz w:val="32"/>
          <w:szCs w:val="32"/>
        </w:rPr>
        <w:t>市</w:t>
      </w:r>
      <w:r>
        <w:rPr>
          <w:rStyle w:val="9"/>
          <w:rFonts w:hint="eastAsia" w:ascii="仿宋_GB2312" w:eastAsia="仿宋_GB2312"/>
          <w:color w:val="auto"/>
          <w:sz w:val="32"/>
          <w:szCs w:val="32"/>
          <w:lang w:val="en-US" w:eastAsia="zh-CN"/>
        </w:rPr>
        <w:t>物资局、市贸易局</w:t>
      </w:r>
      <w:r>
        <w:rPr>
          <w:rStyle w:val="9"/>
          <w:rFonts w:ascii="仿宋_GB2312" w:eastAsia="仿宋_GB2312"/>
          <w:color w:val="auto"/>
          <w:sz w:val="32"/>
          <w:szCs w:val="32"/>
        </w:rPr>
        <w:t>基础上组建的国有独资公司</w:t>
      </w:r>
      <w:r>
        <w:rPr>
          <w:rStyle w:val="9"/>
          <w:rFonts w:hint="eastAsia" w:ascii="仿宋_GB2312" w:eastAsia="仿宋_GB2312"/>
          <w:color w:val="auto"/>
          <w:sz w:val="32"/>
          <w:szCs w:val="32"/>
          <w:lang w:eastAsia="zh-CN"/>
        </w:rPr>
        <w:t>。</w:t>
      </w:r>
      <w:r>
        <w:rPr>
          <w:rStyle w:val="9"/>
          <w:rFonts w:hint="eastAsia" w:ascii="仿宋_GB2312" w:hAnsi="仿宋_GB2312" w:eastAsia="仿宋_GB2312" w:cs="仿宋_GB2312"/>
          <w:color w:val="auto"/>
          <w:sz w:val="32"/>
          <w:szCs w:val="32"/>
          <w:lang w:val="en-US" w:eastAsia="zh-CN"/>
        </w:rPr>
        <w:t>公司虽然是</w:t>
      </w:r>
      <w:r>
        <w:rPr>
          <w:rFonts w:hint="eastAsia" w:ascii="仿宋_GB2312" w:hAnsi="仿宋_GB2312" w:eastAsia="仿宋_GB2312" w:cs="仿宋_GB2312"/>
          <w:sz w:val="32"/>
          <w:szCs w:val="32"/>
        </w:rPr>
        <w:t>企业性质，但始终承担着政府的行政管理</w:t>
      </w:r>
      <w:r>
        <w:rPr>
          <w:rFonts w:hint="eastAsia" w:ascii="仿宋_GB2312" w:hAnsi="仿宋_GB2312" w:eastAsia="仿宋_GB2312" w:cs="仿宋_GB2312"/>
          <w:sz w:val="32"/>
          <w:szCs w:val="32"/>
          <w:lang w:val="en-US" w:eastAsia="zh-CN"/>
        </w:rPr>
        <w:t>和社会服务</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w:t>
      </w:r>
      <w:r>
        <w:rPr>
          <w:rStyle w:val="9"/>
          <w:rFonts w:hint="eastAsia" w:ascii="仿宋_GB2312" w:hAnsi="仿宋_GB2312" w:eastAsia="仿宋_GB2312" w:cs="仿宋_GB2312"/>
          <w:color w:val="auto"/>
          <w:sz w:val="32"/>
          <w:szCs w:val="32"/>
          <w:lang w:val="en-US" w:eastAsia="zh-CN"/>
        </w:rPr>
        <w:t>自成立以来</w:t>
      </w:r>
      <w:r>
        <w:rPr>
          <w:rStyle w:val="9"/>
          <w:rFonts w:hint="eastAsia" w:ascii="仿宋_GB2312" w:hAnsi="仿宋_GB2312" w:eastAsia="仿宋_GB2312" w:cs="仿宋_GB2312"/>
          <w:color w:val="auto"/>
          <w:sz w:val="32"/>
          <w:szCs w:val="32"/>
        </w:rPr>
        <w:t>完成了4</w:t>
      </w:r>
      <w:r>
        <w:rPr>
          <w:rStyle w:val="9"/>
          <w:rFonts w:hint="eastAsia" w:ascii="仿宋_GB2312" w:hAnsi="仿宋_GB2312" w:eastAsia="仿宋_GB2312" w:cs="仿宋_GB2312"/>
          <w:color w:val="auto"/>
          <w:sz w:val="32"/>
          <w:szCs w:val="32"/>
          <w:lang w:val="en-US" w:eastAsia="zh-CN"/>
        </w:rPr>
        <w:t>4</w:t>
      </w:r>
      <w:r>
        <w:rPr>
          <w:rStyle w:val="9"/>
          <w:rFonts w:hint="eastAsia" w:ascii="仿宋_GB2312" w:hAnsi="仿宋_GB2312" w:eastAsia="仿宋_GB2312" w:cs="仿宋_GB2312"/>
          <w:color w:val="auto"/>
          <w:sz w:val="32"/>
          <w:szCs w:val="32"/>
        </w:rPr>
        <w:t>家国有企业</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物资系统24</w:t>
      </w:r>
      <w:r>
        <w:rPr>
          <w:rStyle w:val="9"/>
          <w:rFonts w:ascii="仿宋_GB2312" w:eastAsia="仿宋_GB2312"/>
          <w:color w:val="auto"/>
          <w:sz w:val="32"/>
          <w:szCs w:val="32"/>
        </w:rPr>
        <w:t>家</w:t>
      </w:r>
      <w:r>
        <w:rPr>
          <w:rStyle w:val="9"/>
          <w:rFonts w:hint="eastAsia" w:ascii="仿宋_GB2312" w:eastAsia="仿宋_GB2312"/>
          <w:color w:val="auto"/>
          <w:sz w:val="32"/>
          <w:szCs w:val="32"/>
          <w:lang w:eastAsia="zh-CN"/>
        </w:rPr>
        <w:t>、</w:t>
      </w:r>
      <w:r>
        <w:rPr>
          <w:rStyle w:val="9"/>
          <w:rFonts w:ascii="仿宋_GB2312" w:eastAsia="仿宋_GB2312"/>
          <w:color w:val="auto"/>
          <w:sz w:val="32"/>
          <w:szCs w:val="32"/>
        </w:rPr>
        <w:t>商业系统15家</w:t>
      </w:r>
      <w:r>
        <w:rPr>
          <w:rStyle w:val="9"/>
          <w:rFonts w:hint="eastAsia" w:ascii="仿宋_GB2312" w:eastAsia="仿宋_GB2312"/>
          <w:color w:val="auto"/>
          <w:sz w:val="32"/>
          <w:szCs w:val="32"/>
          <w:lang w:eastAsia="zh-CN"/>
        </w:rPr>
        <w:t>、</w:t>
      </w:r>
      <w:r>
        <w:rPr>
          <w:rStyle w:val="9"/>
          <w:rFonts w:hint="eastAsia" w:ascii="仿宋_GB2312" w:eastAsia="仿宋_GB2312"/>
          <w:color w:val="auto"/>
          <w:sz w:val="32"/>
          <w:szCs w:val="32"/>
          <w:lang w:val="en-US" w:eastAsia="zh-CN"/>
        </w:rPr>
        <w:t>其他行业5家</w:t>
      </w:r>
      <w:r>
        <w:rPr>
          <w:rStyle w:val="9"/>
          <w:rFonts w:hint="eastAsia" w:ascii="仿宋_GB2312" w:eastAsia="仿宋_GB2312"/>
          <w:color w:val="auto"/>
          <w:sz w:val="32"/>
          <w:szCs w:val="32"/>
          <w:lang w:eastAsia="zh-CN"/>
        </w:rPr>
        <w:t>）</w:t>
      </w:r>
      <w:r>
        <w:rPr>
          <w:rStyle w:val="9"/>
          <w:rFonts w:ascii="仿宋_GB2312" w:eastAsia="仿宋_GB2312"/>
          <w:color w:val="auto"/>
          <w:sz w:val="32"/>
          <w:szCs w:val="32"/>
        </w:rPr>
        <w:t>的改制工作</w:t>
      </w:r>
      <w:r>
        <w:rPr>
          <w:rStyle w:val="9"/>
          <w:rFonts w:hint="eastAsia" w:ascii="仿宋_GB2312" w:eastAsia="仿宋_GB2312"/>
          <w:color w:val="auto"/>
          <w:sz w:val="32"/>
          <w:szCs w:val="32"/>
          <w:lang w:eastAsia="zh-CN"/>
        </w:rPr>
        <w:t>，</w:t>
      </w:r>
      <w:r>
        <w:rPr>
          <w:rStyle w:val="9"/>
          <w:rFonts w:ascii="仿宋_GB2312" w:eastAsia="仿宋_GB2312"/>
          <w:color w:val="auto"/>
          <w:sz w:val="32"/>
          <w:szCs w:val="32"/>
        </w:rPr>
        <w:t>通过对国有产权和职工身份进行“两个置换”，实现了国有资本从商贸流通领域退出</w:t>
      </w:r>
      <w:r>
        <w:rPr>
          <w:rStyle w:val="9"/>
          <w:rFonts w:hint="eastAsia" w:ascii="仿宋_GB2312" w:eastAsia="仿宋_GB2312"/>
          <w:color w:val="auto"/>
          <w:sz w:val="32"/>
          <w:szCs w:val="32"/>
          <w:lang w:eastAsia="zh-CN"/>
        </w:rPr>
        <w:t>，</w:t>
      </w:r>
      <w:r>
        <w:rPr>
          <w:rStyle w:val="9"/>
          <w:rFonts w:ascii="仿宋_GB2312" w:eastAsia="仿宋_GB2312"/>
          <w:color w:val="auto"/>
          <w:sz w:val="32"/>
          <w:szCs w:val="32"/>
        </w:rPr>
        <w:t>共处置国有资产9.</w:t>
      </w:r>
      <w:r>
        <w:rPr>
          <w:rStyle w:val="9"/>
          <w:rFonts w:hint="eastAsia" w:ascii="仿宋_GB2312" w:eastAsia="仿宋_GB2312"/>
          <w:color w:val="auto"/>
          <w:sz w:val="32"/>
          <w:szCs w:val="32"/>
          <w:lang w:val="en-US" w:eastAsia="zh-CN"/>
        </w:rPr>
        <w:t>93</w:t>
      </w:r>
      <w:r>
        <w:rPr>
          <w:rStyle w:val="9"/>
          <w:rFonts w:ascii="仿宋_GB2312" w:eastAsia="仿宋_GB2312"/>
          <w:color w:val="auto"/>
          <w:sz w:val="32"/>
          <w:szCs w:val="32"/>
        </w:rPr>
        <w:t>亿元，消化债务6.05亿元，上交产权出售收益3.</w:t>
      </w:r>
      <w:r>
        <w:rPr>
          <w:rStyle w:val="9"/>
          <w:rFonts w:hint="eastAsia" w:ascii="仿宋_GB2312" w:eastAsia="仿宋_GB2312"/>
          <w:color w:val="auto"/>
          <w:sz w:val="32"/>
          <w:szCs w:val="32"/>
          <w:lang w:val="en-US" w:eastAsia="zh-CN"/>
        </w:rPr>
        <w:t>28</w:t>
      </w:r>
      <w:r>
        <w:rPr>
          <w:rStyle w:val="9"/>
          <w:rFonts w:ascii="仿宋_GB2312" w:eastAsia="仿宋_GB2312"/>
          <w:color w:val="auto"/>
          <w:sz w:val="32"/>
          <w:szCs w:val="32"/>
        </w:rPr>
        <w:t>亿元。</w:t>
      </w:r>
      <w:r>
        <w:rPr>
          <w:rStyle w:val="9"/>
          <w:rFonts w:hint="eastAsia" w:ascii="仿宋_GB2312" w:eastAsia="仿宋_GB2312"/>
          <w:color w:val="auto"/>
          <w:sz w:val="32"/>
          <w:szCs w:val="32"/>
          <w:lang w:val="en-US" w:eastAsia="zh-CN"/>
        </w:rPr>
        <w:t>截止2022年底，共安置44家企业职工7722人，发放各种费用2.11亿元。公司</w:t>
      </w:r>
      <w:r>
        <w:rPr>
          <w:rStyle w:val="9"/>
          <w:rFonts w:ascii="仿宋_GB2312" w:eastAsia="仿宋_GB2312"/>
          <w:color w:val="auto"/>
          <w:sz w:val="32"/>
          <w:szCs w:val="32"/>
        </w:rPr>
        <w:t>2017年3月划归市国资委管理</w:t>
      </w:r>
      <w:r>
        <w:rPr>
          <w:rStyle w:val="9"/>
          <w:rFonts w:hint="eastAsia" w:ascii="仿宋_GB2312" w:eastAsia="仿宋_GB2312"/>
          <w:color w:val="auto"/>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Style w:val="9"/>
          <w:rFonts w:hint="eastAsia" w:ascii="楷体_GB2312" w:hAnsi="楷体_GB2312" w:eastAsia="楷体_GB2312" w:cs="楷体_GB2312"/>
          <w:color w:val="auto"/>
          <w:sz w:val="32"/>
          <w:szCs w:val="32"/>
          <w:lang w:val="en-US" w:eastAsia="zh-CN"/>
        </w:rPr>
      </w:pPr>
      <w:r>
        <w:rPr>
          <w:rStyle w:val="9"/>
          <w:rFonts w:hint="eastAsia" w:ascii="楷体_GB2312" w:hAnsi="楷体_GB2312" w:eastAsia="楷体_GB2312" w:cs="楷体_GB2312"/>
          <w:color w:val="auto"/>
          <w:sz w:val="32"/>
          <w:szCs w:val="32"/>
          <w:lang w:val="en-US" w:eastAsia="zh-CN"/>
        </w:rPr>
        <w:t>工商注册信息</w:t>
      </w:r>
    </w:p>
    <w:p>
      <w:pPr>
        <w:keepNext w:val="0"/>
        <w:keepLines w:val="0"/>
        <w:pageBreakBefore w:val="0"/>
        <w:kinsoku/>
        <w:wordWrap/>
        <w:overflowPunct/>
        <w:topLinePunct w:val="0"/>
        <w:bidi w:val="0"/>
        <w:snapToGrid/>
        <w:spacing w:line="560" w:lineRule="exact"/>
        <w:ind w:left="638" w:leftChars="304" w:firstLine="0" w:firstLineChars="0"/>
        <w:textAlignment w:val="auto"/>
        <w:rPr>
          <w:rStyle w:val="9"/>
          <w:rFonts w:hint="eastAsia" w:ascii="仿宋_GB2312" w:eastAsia="仿宋_GB2312"/>
          <w:color w:val="auto"/>
          <w:sz w:val="32"/>
          <w:szCs w:val="32"/>
          <w:lang w:eastAsia="zh-CN"/>
        </w:rPr>
      </w:pPr>
      <w:r>
        <w:rPr>
          <w:rStyle w:val="9"/>
          <w:rFonts w:hint="eastAsia" w:ascii="仿宋_GB2312" w:eastAsia="仿宋_GB2312"/>
          <w:color w:val="auto"/>
          <w:sz w:val="32"/>
          <w:szCs w:val="32"/>
          <w:lang w:val="en-US" w:eastAsia="zh-CN"/>
        </w:rPr>
        <w:t>企业名称:</w:t>
      </w:r>
      <w:r>
        <w:rPr>
          <w:rStyle w:val="9"/>
          <w:rFonts w:ascii="仿宋_GB2312" w:eastAsia="仿宋_GB2312"/>
          <w:color w:val="auto"/>
          <w:sz w:val="32"/>
          <w:szCs w:val="32"/>
        </w:rPr>
        <w:t>秦皇岛市商贸国有资产投资经营有限公司</w:t>
      </w:r>
      <w:r>
        <w:rPr>
          <w:rStyle w:val="9"/>
          <w:rFonts w:hint="eastAsia" w:ascii="仿宋_GB2312" w:eastAsia="仿宋_GB2312"/>
          <w:color w:val="auto"/>
          <w:sz w:val="32"/>
          <w:szCs w:val="32"/>
          <w:lang w:eastAsia="zh-CN"/>
        </w:rPr>
        <w:t>；</w:t>
      </w:r>
    </w:p>
    <w:p>
      <w:pPr>
        <w:keepNext w:val="0"/>
        <w:keepLines w:val="0"/>
        <w:pageBreakBefore w:val="0"/>
        <w:kinsoku/>
        <w:wordWrap/>
        <w:overflowPunct/>
        <w:topLinePunct w:val="0"/>
        <w:bidi w:val="0"/>
        <w:snapToGrid/>
        <w:spacing w:line="560" w:lineRule="exact"/>
        <w:ind w:left="638" w:leftChars="304" w:firstLine="0" w:firstLineChars="0"/>
        <w:textAlignment w:val="auto"/>
        <w:rPr>
          <w:rStyle w:val="9"/>
          <w:rFonts w:hint="eastAsia" w:ascii="仿宋_GB2312" w:eastAsia="仿宋_GB2312"/>
          <w:color w:val="auto"/>
          <w:sz w:val="32"/>
          <w:szCs w:val="32"/>
          <w:lang w:val="en-US" w:eastAsia="zh-CN"/>
        </w:rPr>
      </w:pPr>
      <w:r>
        <w:rPr>
          <w:rStyle w:val="9"/>
          <w:rFonts w:hint="eastAsia" w:ascii="仿宋_GB2312" w:eastAsia="仿宋_GB2312"/>
          <w:color w:val="auto"/>
          <w:sz w:val="32"/>
          <w:szCs w:val="32"/>
          <w:lang w:val="en-US" w:eastAsia="zh-CN"/>
        </w:rPr>
        <w:t>企业性质：有限责任公司（国有独资）；</w:t>
      </w:r>
    </w:p>
    <w:p>
      <w:pPr>
        <w:keepNext w:val="0"/>
        <w:keepLines w:val="0"/>
        <w:pageBreakBefore w:val="0"/>
        <w:kinsoku/>
        <w:wordWrap/>
        <w:overflowPunct/>
        <w:topLinePunct w:val="0"/>
        <w:bidi w:val="0"/>
        <w:snapToGrid/>
        <w:spacing w:line="560" w:lineRule="exact"/>
        <w:ind w:firstLine="640"/>
        <w:textAlignment w:val="auto"/>
        <w:rPr>
          <w:rStyle w:val="9"/>
          <w:rFonts w:hint="eastAsia" w:ascii="仿宋_GB2312" w:eastAsia="仿宋_GB2312"/>
          <w:color w:val="auto"/>
          <w:sz w:val="32"/>
          <w:szCs w:val="32"/>
          <w:lang w:val="en-US" w:eastAsia="zh-CN"/>
        </w:rPr>
      </w:pPr>
      <w:r>
        <w:rPr>
          <w:rStyle w:val="9"/>
          <w:rFonts w:hint="eastAsia" w:ascii="仿宋_GB2312" w:eastAsia="仿宋_GB2312"/>
          <w:color w:val="auto"/>
          <w:sz w:val="32"/>
          <w:szCs w:val="32"/>
          <w:lang w:val="en-US" w:eastAsia="zh-CN"/>
        </w:rPr>
        <w:t>注册办公地点：秦皇岛市海港区文化路356号；</w:t>
      </w:r>
    </w:p>
    <w:p>
      <w:pPr>
        <w:keepNext w:val="0"/>
        <w:keepLines w:val="0"/>
        <w:pageBreakBefore w:val="0"/>
        <w:kinsoku/>
        <w:wordWrap/>
        <w:overflowPunct/>
        <w:topLinePunct w:val="0"/>
        <w:bidi w:val="0"/>
        <w:snapToGrid/>
        <w:spacing w:line="560" w:lineRule="exact"/>
        <w:ind w:firstLine="640"/>
        <w:textAlignment w:val="auto"/>
        <w:rPr>
          <w:rStyle w:val="9"/>
          <w:rFonts w:hint="eastAsia" w:ascii="仿宋_GB2312" w:eastAsia="仿宋_GB2312"/>
          <w:color w:val="auto"/>
          <w:sz w:val="32"/>
          <w:szCs w:val="32"/>
          <w:lang w:val="en-US" w:eastAsia="zh-CN"/>
        </w:rPr>
      </w:pPr>
      <w:r>
        <w:rPr>
          <w:rStyle w:val="9"/>
          <w:rFonts w:hint="eastAsia" w:ascii="仿宋_GB2312" w:eastAsia="仿宋_GB2312"/>
          <w:color w:val="auto"/>
          <w:sz w:val="32"/>
          <w:szCs w:val="32"/>
          <w:lang w:val="en-US" w:eastAsia="zh-CN"/>
        </w:rPr>
        <w:t>注册资本数额：伍千万元整；</w:t>
      </w:r>
    </w:p>
    <w:p>
      <w:pPr>
        <w:keepNext w:val="0"/>
        <w:keepLines w:val="0"/>
        <w:pageBreakBefore w:val="0"/>
        <w:kinsoku/>
        <w:wordWrap/>
        <w:overflowPunct/>
        <w:topLinePunct w:val="0"/>
        <w:bidi w:val="0"/>
        <w:snapToGrid/>
        <w:spacing w:line="560" w:lineRule="exact"/>
        <w:ind w:firstLine="640" w:firstLineChars="200"/>
        <w:textAlignment w:val="auto"/>
        <w:rPr>
          <w:rStyle w:val="9"/>
          <w:rFonts w:hint="eastAsia" w:ascii="仿宋_GB2312" w:eastAsia="仿宋_GB2312"/>
          <w:color w:val="auto"/>
          <w:sz w:val="32"/>
          <w:szCs w:val="32"/>
          <w:lang w:val="en-US" w:eastAsia="zh-CN"/>
        </w:rPr>
      </w:pPr>
      <w:r>
        <w:rPr>
          <w:rStyle w:val="9"/>
          <w:rFonts w:hint="eastAsia" w:ascii="仿宋_GB2312" w:eastAsia="仿宋_GB2312"/>
          <w:color w:val="auto"/>
          <w:sz w:val="32"/>
          <w:szCs w:val="32"/>
          <w:lang w:val="en-US" w:eastAsia="zh-CN"/>
        </w:rPr>
        <w:t>出资人名称：秦皇岛市人民政府国有资产监督管理委员会；</w:t>
      </w:r>
    </w:p>
    <w:p>
      <w:pPr>
        <w:keepNext w:val="0"/>
        <w:keepLines w:val="0"/>
        <w:pageBreakBefore w:val="0"/>
        <w:kinsoku/>
        <w:wordWrap/>
        <w:overflowPunct/>
        <w:topLinePunct w:val="0"/>
        <w:bidi w:val="0"/>
        <w:snapToGrid/>
        <w:spacing w:line="560" w:lineRule="exact"/>
        <w:ind w:firstLine="640" w:firstLineChars="200"/>
        <w:textAlignment w:val="auto"/>
        <w:rPr>
          <w:rStyle w:val="9"/>
          <w:rFonts w:hint="default" w:ascii="仿宋_GB2312" w:eastAsia="仿宋_GB2312"/>
          <w:color w:val="auto"/>
          <w:sz w:val="32"/>
          <w:szCs w:val="32"/>
          <w:lang w:val="en-US" w:eastAsia="zh-CN"/>
        </w:rPr>
      </w:pPr>
      <w:r>
        <w:rPr>
          <w:rStyle w:val="9"/>
          <w:rFonts w:hint="eastAsia" w:ascii="仿宋_GB2312" w:eastAsia="仿宋_GB2312"/>
          <w:color w:val="auto"/>
          <w:sz w:val="32"/>
          <w:szCs w:val="32"/>
          <w:lang w:val="en-US" w:eastAsia="zh-CN"/>
        </w:rPr>
        <w:t>经营范围：受政府委托管理商贸国有资产、开发商贸流通项目、功能性流通项目。</w:t>
      </w:r>
    </w:p>
    <w:p>
      <w:pPr>
        <w:keepNext w:val="0"/>
        <w:keepLines w:val="0"/>
        <w:pageBreakBefore w:val="0"/>
        <w:kinsoku/>
        <w:wordWrap/>
        <w:overflowPunct/>
        <w:topLinePunct w:val="0"/>
        <w:bidi w:val="0"/>
        <w:snapToGrid/>
        <w:spacing w:line="560" w:lineRule="exact"/>
        <w:ind w:firstLine="640" w:firstLineChars="200"/>
        <w:textAlignment w:val="auto"/>
        <w:rPr>
          <w:rStyle w:val="9"/>
          <w:rFonts w:hint="default"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rPr>
        <w:t>二、</w:t>
      </w:r>
      <w:r>
        <w:rPr>
          <w:rStyle w:val="9"/>
          <w:rFonts w:hint="eastAsia" w:ascii="黑体" w:hAnsi="黑体" w:eastAsia="黑体" w:cs="黑体"/>
          <w:b w:val="0"/>
          <w:bCs/>
          <w:color w:val="auto"/>
          <w:sz w:val="32"/>
          <w:szCs w:val="32"/>
          <w:lang w:val="en-US" w:eastAsia="zh-CN"/>
        </w:rPr>
        <w:t>组织体系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color w:val="000000"/>
          <w:kern w:val="0"/>
          <w:sz w:val="32"/>
          <w:lang w:val="en-US" w:eastAsia="zh-CN"/>
        </w:rPr>
      </w:pPr>
      <w:r>
        <w:rPr>
          <w:rFonts w:hint="eastAsia" w:ascii="楷体_GB2312" w:hAnsi="楷体_GB2312" w:eastAsia="楷体_GB2312" w:cs="楷体_GB2312"/>
          <w:b w:val="0"/>
          <w:bCs w:val="0"/>
          <w:color w:val="000000"/>
          <w:kern w:val="0"/>
          <w:sz w:val="32"/>
          <w:lang w:val="en-US" w:eastAsia="zh-CN"/>
        </w:rPr>
        <w:t>企业领导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lang w:eastAsia="zh-CN"/>
        </w:rPr>
      </w:pPr>
      <w:r>
        <w:rPr>
          <w:rFonts w:hint="eastAsia" w:ascii="楷体_GB2312" w:hAnsi="楷体_GB2312" w:eastAsia="楷体_GB2312" w:cs="楷体_GB2312"/>
          <w:b w:val="0"/>
          <w:bCs w:val="0"/>
          <w:color w:val="000000"/>
          <w:kern w:val="0"/>
          <w:sz w:val="32"/>
          <w:lang w:eastAsia="zh-CN"/>
        </w:rPr>
        <w:t>（</w:t>
      </w:r>
      <w:r>
        <w:rPr>
          <w:rFonts w:hint="eastAsia" w:ascii="楷体_GB2312" w:hAnsi="楷体_GB2312" w:eastAsia="楷体_GB2312" w:cs="楷体_GB2312"/>
          <w:b w:val="0"/>
          <w:bCs w:val="0"/>
          <w:color w:val="000000"/>
          <w:kern w:val="0"/>
          <w:sz w:val="32"/>
          <w:lang w:val="en-US" w:eastAsia="zh-CN"/>
        </w:rPr>
        <w:t>一</w:t>
      </w:r>
      <w:r>
        <w:rPr>
          <w:rFonts w:hint="eastAsia" w:ascii="楷体_GB2312" w:hAnsi="楷体_GB2312" w:eastAsia="楷体_GB2312" w:cs="楷体_GB2312"/>
          <w:b w:val="0"/>
          <w:bCs w:val="0"/>
          <w:color w:val="000000"/>
          <w:kern w:val="0"/>
          <w:sz w:val="32"/>
          <w:lang w:eastAsia="zh-CN"/>
        </w:rPr>
        <w:t>）</w:t>
      </w:r>
      <w:r>
        <w:rPr>
          <w:rFonts w:hint="eastAsia" w:ascii="仿宋_GB2312" w:hAnsi="仿宋_GB2312" w:eastAsia="仿宋_GB2312" w:cs="仿宋_GB2312"/>
          <w:sz w:val="32"/>
          <w:szCs w:val="32"/>
          <w:lang w:val="en-US" w:eastAsia="zh-CN"/>
        </w:rPr>
        <w:t>党委会情况:党委书记：王宝宏（1-6月）。党委委员：杨晓伟、景新婷。</w:t>
      </w:r>
    </w:p>
    <w:p>
      <w:pPr>
        <w:keepNext w:val="0"/>
        <w:keepLines w:val="0"/>
        <w:pageBreakBefore w:val="0"/>
        <w:tabs>
          <w:tab w:val="left" w:pos="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kern w:val="0"/>
          <w:sz w:val="32"/>
          <w:lang w:eastAsia="zh-CN"/>
        </w:rPr>
      </w:pPr>
      <w:r>
        <w:rPr>
          <w:rFonts w:hint="eastAsia" w:ascii="楷体_GB2312" w:hAnsi="楷体_GB2312" w:eastAsia="楷体_GB2312" w:cs="楷体_GB2312"/>
          <w:b w:val="0"/>
          <w:bCs w:val="0"/>
          <w:color w:val="000000"/>
          <w:kern w:val="0"/>
          <w:sz w:val="32"/>
          <w:lang w:eastAsia="zh-CN"/>
        </w:rPr>
        <w:t>（</w:t>
      </w:r>
      <w:r>
        <w:rPr>
          <w:rFonts w:hint="eastAsia" w:ascii="楷体_GB2312" w:hAnsi="楷体_GB2312" w:eastAsia="楷体_GB2312" w:cs="楷体_GB2312"/>
          <w:b w:val="0"/>
          <w:bCs w:val="0"/>
          <w:color w:val="000000"/>
          <w:kern w:val="0"/>
          <w:sz w:val="32"/>
          <w:lang w:val="en-US" w:eastAsia="zh-CN"/>
        </w:rPr>
        <w:t>二</w:t>
      </w:r>
      <w:r>
        <w:rPr>
          <w:rFonts w:hint="eastAsia" w:ascii="楷体_GB2312" w:hAnsi="楷体_GB2312" w:eastAsia="楷体_GB2312" w:cs="楷体_GB2312"/>
          <w:b w:val="0"/>
          <w:bCs w:val="0"/>
          <w:color w:val="000000"/>
          <w:kern w:val="0"/>
          <w:sz w:val="32"/>
          <w:lang w:eastAsia="zh-CN"/>
        </w:rPr>
        <w:t>）</w:t>
      </w:r>
      <w:r>
        <w:rPr>
          <w:rFonts w:hint="eastAsia" w:ascii="楷体_GB2312" w:hAnsi="楷体_GB2312" w:eastAsia="楷体_GB2312" w:cs="楷体_GB2312"/>
          <w:b w:val="0"/>
          <w:bCs w:val="0"/>
          <w:color w:val="000000"/>
          <w:kern w:val="0"/>
          <w:sz w:val="32"/>
          <w:lang w:val="en-US" w:eastAsia="zh-CN"/>
        </w:rPr>
        <w:t>董事会情况。</w:t>
      </w:r>
      <w:r>
        <w:rPr>
          <w:rFonts w:hint="eastAsia" w:ascii="仿宋_GB2312" w:hAnsi="仿宋_GB2312" w:eastAsia="仿宋_GB2312" w:cs="仿宋_GB2312"/>
          <w:b w:val="0"/>
          <w:bCs w:val="0"/>
          <w:color w:val="000000"/>
          <w:kern w:val="0"/>
          <w:sz w:val="32"/>
        </w:rPr>
        <w:t>公司依法设立董事会，</w:t>
      </w:r>
      <w:r>
        <w:rPr>
          <w:rFonts w:hint="eastAsia" w:ascii="仿宋_GB2312" w:hAnsi="仿宋_GB2312" w:eastAsia="仿宋_GB2312" w:cs="仿宋_GB2312"/>
          <w:b w:val="0"/>
          <w:bCs w:val="0"/>
          <w:kern w:val="0"/>
          <w:sz w:val="32"/>
        </w:rPr>
        <w:t>由 3人组成</w:t>
      </w:r>
      <w:r>
        <w:rPr>
          <w:rFonts w:hint="eastAsia" w:ascii="仿宋_GB2312" w:hAnsi="仿宋_GB2312" w:eastAsia="仿宋_GB2312" w:cs="仿宋_GB2312"/>
          <w:b w:val="0"/>
          <w:bCs w:val="0"/>
          <w:kern w:val="0"/>
          <w:sz w:val="32"/>
          <w:lang w:eastAsia="zh-CN"/>
        </w:rPr>
        <w:t>。</w:t>
      </w:r>
      <w:r>
        <w:rPr>
          <w:rFonts w:hint="eastAsia" w:ascii="仿宋_GB2312" w:hAnsi="仿宋_GB2312" w:eastAsia="仿宋_GB2312" w:cs="仿宋_GB2312"/>
          <w:b w:val="0"/>
          <w:bCs w:val="0"/>
          <w:kern w:val="0"/>
          <w:sz w:val="32"/>
          <w:lang w:val="en-US" w:eastAsia="zh-CN"/>
        </w:rPr>
        <w:t>董事长：王宝宏（1-6月）；董事：赵君莉、杨晓伟。</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Style w:val="9"/>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kern w:val="0"/>
          <w:sz w:val="32"/>
          <w:lang w:eastAsia="zh-CN"/>
        </w:rPr>
        <w:t>（</w:t>
      </w:r>
      <w:r>
        <w:rPr>
          <w:rFonts w:hint="eastAsia" w:ascii="楷体_GB2312" w:hAnsi="楷体_GB2312" w:eastAsia="楷体_GB2312" w:cs="楷体_GB2312"/>
          <w:b w:val="0"/>
          <w:bCs w:val="0"/>
          <w:kern w:val="0"/>
          <w:sz w:val="32"/>
          <w:lang w:val="en-US" w:eastAsia="zh-CN"/>
        </w:rPr>
        <w:t>三</w:t>
      </w:r>
      <w:r>
        <w:rPr>
          <w:rFonts w:hint="eastAsia" w:ascii="楷体_GB2312" w:hAnsi="楷体_GB2312" w:eastAsia="楷体_GB2312" w:cs="楷体_GB2312"/>
          <w:b w:val="0"/>
          <w:bCs w:val="0"/>
          <w:kern w:val="0"/>
          <w:sz w:val="32"/>
          <w:lang w:eastAsia="zh-CN"/>
        </w:rPr>
        <w:t>）</w:t>
      </w:r>
      <w:r>
        <w:rPr>
          <w:rFonts w:hint="eastAsia" w:ascii="楷体_GB2312" w:hAnsi="楷体_GB2312" w:eastAsia="楷体_GB2312" w:cs="楷体_GB2312"/>
          <w:b w:val="0"/>
          <w:bCs w:val="0"/>
          <w:color w:val="000000"/>
          <w:kern w:val="0"/>
          <w:sz w:val="32"/>
          <w:lang w:val="en-US" w:eastAsia="zh-CN"/>
        </w:rPr>
        <w:t>经理层情况。</w:t>
      </w:r>
      <w:r>
        <w:rPr>
          <w:rStyle w:val="9"/>
          <w:rFonts w:hint="eastAsia" w:ascii="仿宋_GB2312" w:hAnsi="仿宋_GB2312" w:eastAsia="仿宋_GB2312" w:cs="仿宋_GB2312"/>
          <w:b w:val="0"/>
          <w:bCs w:val="0"/>
          <w:color w:val="auto"/>
          <w:sz w:val="32"/>
          <w:szCs w:val="32"/>
        </w:rPr>
        <w:t>总经理</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lang w:val="en-US" w:eastAsia="zh-CN"/>
        </w:rPr>
        <w:t>王宝宏（1-6月）</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rPr>
        <w:t>副总经理</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lang w:val="en-US" w:eastAsia="zh-CN"/>
        </w:rPr>
        <w:t>赵君莉</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rPr>
        <w:t>副总经理</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lang w:val="en-US" w:eastAsia="zh-CN"/>
        </w:rPr>
        <w:t>杨晓伟。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内设机构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公司内设科室6个：综合办公室、党建和人事工作办公室、企业管理与维稳办公室、退管科、财审科、资产科。</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Style w:val="9"/>
          <w:rFonts w:hint="eastAsia"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val="en-US" w:eastAsia="zh-CN"/>
        </w:rPr>
        <w:t>三、经营管理</w:t>
      </w:r>
    </w:p>
    <w:p>
      <w:pPr>
        <w:keepNext w:val="0"/>
        <w:keepLines w:val="0"/>
        <w:pageBreakBefore w:val="0"/>
        <w:numPr>
          <w:ilvl w:val="0"/>
          <w:numId w:val="0"/>
        </w:numPr>
        <w:tabs>
          <w:tab w:val="left" w:pos="7671"/>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kern w:val="0"/>
          <w:sz w:val="32"/>
          <w:lang w:val="en-US" w:eastAsia="zh-CN"/>
        </w:rPr>
      </w:pPr>
      <w:r>
        <w:rPr>
          <w:rFonts w:hint="eastAsia" w:ascii="楷体_GB2312" w:hAnsi="楷体_GB2312" w:eastAsia="楷体_GB2312" w:cs="楷体_GB2312"/>
          <w:b w:val="0"/>
          <w:bCs w:val="0"/>
          <w:color w:val="000000"/>
          <w:kern w:val="0"/>
          <w:sz w:val="32"/>
          <w:lang w:val="en-US" w:eastAsia="zh-CN"/>
        </w:rPr>
        <w:t>年度报告</w:t>
      </w:r>
    </w:p>
    <w:p>
      <w:pPr>
        <w:keepNext w:val="0"/>
        <w:keepLines w:val="0"/>
        <w:pageBreakBefore w:val="0"/>
        <w:numPr>
          <w:ilvl w:val="0"/>
          <w:numId w:val="0"/>
        </w:numPr>
        <w:tabs>
          <w:tab w:val="left" w:pos="7671"/>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kern w:val="0"/>
          <w:sz w:val="32"/>
          <w:lang w:val="en-US" w:eastAsia="zh-CN"/>
        </w:rPr>
      </w:pPr>
      <w:r>
        <w:rPr>
          <w:rFonts w:hint="eastAsia" w:ascii="仿宋_GB2312" w:hAnsi="仿宋_GB2312" w:eastAsia="仿宋_GB2312" w:cs="仿宋_GB2312"/>
          <w:b w:val="0"/>
          <w:bCs w:val="0"/>
          <w:color w:val="000000"/>
          <w:kern w:val="0"/>
          <w:sz w:val="32"/>
          <w:lang w:val="en-US" w:eastAsia="zh-CN"/>
        </w:rPr>
        <w:t>见附件</w:t>
      </w:r>
    </w:p>
    <w:p>
      <w:pPr>
        <w:keepNext w:val="0"/>
        <w:keepLines w:val="0"/>
        <w:pageBreakBefore w:val="0"/>
        <w:numPr>
          <w:ilvl w:val="0"/>
          <w:numId w:val="0"/>
        </w:numPr>
        <w:tabs>
          <w:tab w:val="left" w:pos="7671"/>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kern w:val="0"/>
          <w:sz w:val="32"/>
          <w:lang w:val="en-US" w:eastAsia="zh-CN"/>
        </w:rPr>
      </w:pPr>
      <w:r>
        <w:rPr>
          <w:rFonts w:hint="eastAsia" w:ascii="楷体_GB2312" w:hAnsi="楷体_GB2312" w:eastAsia="楷体_GB2312" w:cs="楷体_GB2312"/>
          <w:b w:val="0"/>
          <w:bCs w:val="0"/>
          <w:color w:val="000000"/>
          <w:kern w:val="0"/>
          <w:sz w:val="32"/>
          <w:lang w:val="en-US" w:eastAsia="zh-CN"/>
        </w:rPr>
        <w:t>财务状况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2022年底公司总资产5465.31万元，总负债 1303.88 万元，净资产4161.43万元，资产负债率23.86 %，与去年相比较，公司总资产增加106.2万元，总负债增加762.73 万元，净资产增加-656.53万元。</w:t>
      </w:r>
      <w:r>
        <w:rPr>
          <w:rFonts w:hint="eastAsia" w:ascii="仿宋_GB2312" w:hAnsi="仿宋_GB2312" w:eastAsia="仿宋_GB2312" w:cs="仿宋_GB2312"/>
          <w:b w:val="0"/>
          <w:bCs w:val="0"/>
          <w:color w:val="auto"/>
          <w:sz w:val="32"/>
          <w:szCs w:val="32"/>
          <w:lang w:val="en-US" w:eastAsia="zh-CN"/>
        </w:rPr>
        <w:tab/>
      </w:r>
    </w:p>
    <w:p>
      <w:pPr>
        <w:keepNext w:val="0"/>
        <w:keepLines w:val="0"/>
        <w:pageBreakBefore w:val="0"/>
        <w:numPr>
          <w:ilvl w:val="0"/>
          <w:numId w:val="0"/>
        </w:numPr>
        <w:tabs>
          <w:tab w:val="left" w:pos="7671"/>
        </w:tabs>
        <w:kinsoku/>
        <w:wordWrap/>
        <w:overflowPunct/>
        <w:topLinePunct w:val="0"/>
        <w:bidi w:val="0"/>
        <w:snapToGrid/>
        <w:spacing w:line="560" w:lineRule="exact"/>
        <w:ind w:firstLine="640" w:firstLineChars="200"/>
        <w:textAlignment w:val="auto"/>
        <w:rPr>
          <w:rStyle w:val="9"/>
          <w:rFonts w:hint="default"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val="en-US" w:eastAsia="zh-CN"/>
        </w:rPr>
        <w:t>四、薪酬待遇</w:t>
      </w:r>
    </w:p>
    <w:p>
      <w:pPr>
        <w:keepNext w:val="0"/>
        <w:keepLines w:val="0"/>
        <w:pageBreakBefore w:val="0"/>
        <w:kinsoku/>
        <w:wordWrap/>
        <w:overflowPunct/>
        <w:topLinePunct w:val="0"/>
        <w:bidi w:val="0"/>
        <w:snapToGrid/>
        <w:spacing w:line="560" w:lineRule="exact"/>
        <w:ind w:firstLine="1280" w:firstLineChars="400"/>
        <w:textAlignment w:val="auto"/>
        <w:rPr>
          <w:rStyle w:val="9"/>
          <w:rFonts w:hint="eastAsia" w:ascii="楷体_GB2312" w:hAnsi="楷体_GB2312" w:eastAsia="楷体_GB2312" w:cs="楷体_GB2312"/>
          <w:b w:val="0"/>
          <w:bCs/>
          <w:color w:val="auto"/>
          <w:sz w:val="32"/>
          <w:szCs w:val="32"/>
          <w:lang w:val="en-US" w:eastAsia="zh-CN"/>
        </w:rPr>
      </w:pPr>
    </w:p>
    <w:p>
      <w:pPr>
        <w:keepNext w:val="0"/>
        <w:keepLines w:val="0"/>
        <w:pageBreakBefore w:val="0"/>
        <w:kinsoku/>
        <w:wordWrap/>
        <w:overflowPunct/>
        <w:topLinePunct w:val="0"/>
        <w:bidi w:val="0"/>
        <w:snapToGrid/>
        <w:spacing w:line="560" w:lineRule="exact"/>
        <w:ind w:firstLine="1280" w:firstLineChars="400"/>
        <w:textAlignment w:val="auto"/>
        <w:rPr>
          <w:rStyle w:val="9"/>
          <w:rFonts w:hint="eastAsia" w:ascii="楷体_GB2312" w:hAnsi="楷体_GB2312" w:eastAsia="楷体_GB2312" w:cs="楷体_GB2312"/>
          <w:b w:val="0"/>
          <w:bCs/>
          <w:color w:val="auto"/>
          <w:sz w:val="32"/>
          <w:szCs w:val="32"/>
          <w:lang w:val="en-US" w:eastAsia="zh-CN"/>
        </w:rPr>
      </w:pPr>
    </w:p>
    <w:p>
      <w:pPr>
        <w:keepNext w:val="0"/>
        <w:keepLines w:val="0"/>
        <w:pageBreakBefore w:val="0"/>
        <w:kinsoku/>
        <w:wordWrap/>
        <w:overflowPunct/>
        <w:topLinePunct w:val="0"/>
        <w:bidi w:val="0"/>
        <w:snapToGrid/>
        <w:spacing w:line="560" w:lineRule="exact"/>
        <w:ind w:firstLine="1280" w:firstLineChars="400"/>
        <w:textAlignment w:val="auto"/>
        <w:rPr>
          <w:rStyle w:val="9"/>
          <w:rFonts w:hint="eastAsia" w:ascii="楷体_GB2312" w:hAnsi="楷体_GB2312" w:eastAsia="楷体_GB2312" w:cs="楷体_GB2312"/>
          <w:b w:val="0"/>
          <w:bCs/>
          <w:color w:val="auto"/>
          <w:sz w:val="32"/>
          <w:szCs w:val="32"/>
          <w:lang w:val="en-US" w:eastAsia="zh-CN"/>
        </w:rPr>
      </w:pPr>
    </w:p>
    <w:p>
      <w:pPr>
        <w:keepNext w:val="0"/>
        <w:keepLines w:val="0"/>
        <w:pageBreakBefore w:val="0"/>
        <w:kinsoku/>
        <w:wordWrap/>
        <w:overflowPunct/>
        <w:topLinePunct w:val="0"/>
        <w:bidi w:val="0"/>
        <w:snapToGrid/>
        <w:spacing w:line="560" w:lineRule="exact"/>
        <w:textAlignment w:val="auto"/>
        <w:rPr>
          <w:rStyle w:val="9"/>
          <w:rFonts w:hint="eastAsia" w:ascii="楷体_GB2312" w:hAnsi="楷体_GB2312" w:eastAsia="楷体_GB2312" w:cs="楷体_GB2312"/>
          <w:b w:val="0"/>
          <w:bCs/>
          <w:color w:val="auto"/>
          <w:sz w:val="32"/>
          <w:szCs w:val="32"/>
          <w:lang w:val="en-US" w:eastAsia="zh-CN"/>
        </w:rPr>
      </w:pPr>
    </w:p>
    <w:p>
      <w:pPr>
        <w:keepNext w:val="0"/>
        <w:keepLines w:val="0"/>
        <w:pageBreakBefore w:val="0"/>
        <w:kinsoku/>
        <w:wordWrap/>
        <w:overflowPunct/>
        <w:topLinePunct w:val="0"/>
        <w:bidi w:val="0"/>
        <w:snapToGrid/>
        <w:spacing w:line="560" w:lineRule="exact"/>
        <w:ind w:firstLine="1600" w:firstLineChars="500"/>
        <w:textAlignment w:val="auto"/>
        <w:rPr>
          <w:rStyle w:val="9"/>
          <w:rFonts w:hint="eastAsia" w:ascii="楷体_GB2312" w:hAnsi="楷体_GB2312" w:eastAsia="楷体_GB2312" w:cs="楷体_GB2312"/>
          <w:b w:val="0"/>
          <w:bCs/>
          <w:color w:val="auto"/>
          <w:sz w:val="32"/>
          <w:szCs w:val="32"/>
          <w:lang w:val="en-US" w:eastAsia="zh-CN"/>
        </w:rPr>
      </w:pPr>
      <w:r>
        <w:rPr>
          <w:rStyle w:val="9"/>
          <w:rFonts w:hint="eastAsia" w:ascii="楷体_GB2312" w:hAnsi="楷体_GB2312" w:eastAsia="楷体_GB2312" w:cs="楷体_GB2312"/>
          <w:b w:val="0"/>
          <w:bCs/>
          <w:color w:val="auto"/>
          <w:sz w:val="32"/>
          <w:szCs w:val="32"/>
          <w:lang w:val="en-US" w:eastAsia="zh-CN"/>
        </w:rPr>
        <w:t>2022年企业负责人实际领取薪酬标准</w:t>
      </w:r>
    </w:p>
    <w:p>
      <w:pPr>
        <w:rPr>
          <w:rStyle w:val="9"/>
          <w:rFonts w:hint="default" w:ascii="仿宋_GB2312" w:hAnsi="仿宋_GB2312" w:eastAsia="仿宋_GB2312" w:cs="仿宋_GB2312"/>
          <w:b w:val="0"/>
          <w:bCs/>
          <w:color w:val="auto"/>
          <w:sz w:val="32"/>
          <w:szCs w:val="32"/>
          <w:lang w:val="en-US" w:eastAsia="zh-CN"/>
        </w:rPr>
      </w:pPr>
      <w:r>
        <w:rPr>
          <w:rStyle w:val="9"/>
          <w:rFonts w:hint="eastAsia" w:ascii="仿宋_GB2312" w:hAnsi="仿宋_GB2312" w:eastAsia="仿宋_GB2312" w:cs="仿宋_GB2312"/>
          <w:b w:val="0"/>
          <w:bCs/>
          <w:color w:val="auto"/>
          <w:sz w:val="32"/>
          <w:szCs w:val="32"/>
          <w:lang w:val="en-US" w:eastAsia="zh-CN"/>
        </w:rPr>
        <w:t xml:space="preserve">                                        单位：万元</w:t>
      </w:r>
    </w:p>
    <w:tbl>
      <w:tblPr>
        <w:tblStyle w:val="6"/>
        <w:tblW w:w="8579"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4535"/>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姓名</w:t>
            </w:r>
          </w:p>
        </w:tc>
        <w:tc>
          <w:tcPr>
            <w:tcW w:w="4535"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职务</w:t>
            </w:r>
          </w:p>
        </w:tc>
        <w:tc>
          <w:tcPr>
            <w:tcW w:w="2434" w:type="dxa"/>
            <w:vAlign w:val="top"/>
          </w:tcPr>
          <w:p>
            <w:pPr>
              <w:widowControl w:val="0"/>
              <w:jc w:val="center"/>
              <w:rPr>
                <w:rFonts w:hint="default" w:ascii="仿宋_GB2312" w:hAnsi="仿宋_GB2312" w:eastAsia="仿宋_GB2312" w:cs="仿宋_GB2312"/>
                <w:b w:val="0"/>
                <w:bCs/>
                <w:color w:val="auto"/>
                <w:kern w:val="2"/>
                <w:sz w:val="32"/>
                <w:szCs w:val="32"/>
                <w:vertAlign w:val="baseline"/>
                <w:lang w:val="en-US" w:eastAsia="zh-CN" w:bidi="ar-SA"/>
              </w:rPr>
            </w:pPr>
            <w:r>
              <w:rPr>
                <w:rFonts w:hint="eastAsia" w:ascii="仿宋_GB2312" w:hAnsi="仿宋_GB2312" w:eastAsia="仿宋_GB2312" w:cs="仿宋_GB2312"/>
                <w:b w:val="0"/>
                <w:bCs/>
                <w:color w:val="auto"/>
                <w:kern w:val="2"/>
                <w:sz w:val="32"/>
                <w:szCs w:val="32"/>
                <w:vertAlign w:val="baseline"/>
                <w:lang w:val="en-US" w:eastAsia="zh-CN" w:bidi="ar-SA"/>
              </w:rPr>
              <w:t>薪金总额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王宝宏</w:t>
            </w:r>
          </w:p>
        </w:tc>
        <w:tc>
          <w:tcPr>
            <w:tcW w:w="4535" w:type="dxa"/>
          </w:tcPr>
          <w:p>
            <w:pPr>
              <w:widowControl w:val="0"/>
              <w:jc w:val="center"/>
              <w:rPr>
                <w:rStyle w:val="9"/>
                <w:rFonts w:hint="eastAsia"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党委书记、董事长、总经理</w:t>
            </w:r>
          </w:p>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（1-6月兼任）</w:t>
            </w:r>
          </w:p>
        </w:tc>
        <w:tc>
          <w:tcPr>
            <w:tcW w:w="2434" w:type="dxa"/>
            <w:vAlign w:val="top"/>
          </w:tcPr>
          <w:p>
            <w:pPr>
              <w:widowControl w:val="0"/>
              <w:jc w:val="center"/>
              <w:rPr>
                <w:rFonts w:hint="eastAsia" w:ascii="仿宋_GB2312" w:hAnsi="仿宋_GB2312" w:eastAsia="仿宋_GB2312" w:cs="仿宋_GB2312"/>
                <w:b w:val="0"/>
                <w:bCs/>
                <w:color w:val="auto"/>
                <w:kern w:val="2"/>
                <w:sz w:val="32"/>
                <w:szCs w:val="32"/>
                <w:vertAlign w:val="baseline"/>
                <w:lang w:val="en-US" w:eastAsia="zh-CN" w:bidi="ar-SA"/>
              </w:rPr>
            </w:pPr>
            <w:r>
              <w:rPr>
                <w:rFonts w:hint="eastAsia" w:ascii="仿宋_GB2312" w:hAnsi="仿宋_GB2312" w:eastAsia="仿宋_GB2312" w:cs="仿宋_GB2312"/>
                <w:b w:val="0"/>
                <w:bCs/>
                <w:color w:val="auto"/>
                <w:kern w:val="2"/>
                <w:sz w:val="32"/>
                <w:szCs w:val="32"/>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无</w:t>
            </w:r>
          </w:p>
        </w:tc>
        <w:tc>
          <w:tcPr>
            <w:tcW w:w="4535" w:type="dxa"/>
          </w:tcPr>
          <w:p>
            <w:pPr>
              <w:widowControl w:val="0"/>
              <w:jc w:val="center"/>
              <w:rPr>
                <w:rStyle w:val="9"/>
                <w:rFonts w:hint="eastAsia"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党委书记、董事长、总经理</w:t>
            </w:r>
          </w:p>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（7-12月）</w:t>
            </w:r>
          </w:p>
        </w:tc>
        <w:tc>
          <w:tcPr>
            <w:tcW w:w="2434" w:type="dxa"/>
            <w:vAlign w:val="top"/>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赵君莉</w:t>
            </w:r>
          </w:p>
        </w:tc>
        <w:tc>
          <w:tcPr>
            <w:tcW w:w="4535"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副总经理</w:t>
            </w:r>
          </w:p>
        </w:tc>
        <w:tc>
          <w:tcPr>
            <w:tcW w:w="2434" w:type="dxa"/>
            <w:vAlign w:val="top"/>
          </w:tcPr>
          <w:p>
            <w:pPr>
              <w:widowControl w:val="0"/>
              <w:jc w:val="center"/>
              <w:rPr>
                <w:rFonts w:hint="default" w:ascii="仿宋_GB2312" w:hAnsi="仿宋_GB2312" w:eastAsia="仿宋_GB2312" w:cs="仿宋_GB2312"/>
                <w:b w:val="0"/>
                <w:bCs/>
                <w:color w:val="auto"/>
                <w:kern w:val="2"/>
                <w:sz w:val="32"/>
                <w:szCs w:val="32"/>
                <w:vertAlign w:val="baseline"/>
                <w:lang w:val="en-US" w:eastAsia="zh-CN" w:bidi="ar-SA"/>
              </w:rPr>
            </w:pPr>
            <w:r>
              <w:rPr>
                <w:rFonts w:hint="eastAsia" w:ascii="仿宋_GB2312" w:hAnsi="仿宋_GB2312" w:eastAsia="仿宋_GB2312" w:cs="仿宋_GB2312"/>
                <w:b w:val="0"/>
                <w:bCs/>
                <w:color w:val="auto"/>
                <w:kern w:val="2"/>
                <w:sz w:val="32"/>
                <w:szCs w:val="32"/>
                <w:vertAlign w:val="baseline"/>
                <w:lang w:val="en-US" w:eastAsia="zh-CN" w:bidi="ar-SA"/>
              </w:rPr>
              <w:t>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杨晓伟</w:t>
            </w:r>
          </w:p>
        </w:tc>
        <w:tc>
          <w:tcPr>
            <w:tcW w:w="4535"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党委委员、副总经理</w:t>
            </w:r>
          </w:p>
        </w:tc>
        <w:tc>
          <w:tcPr>
            <w:tcW w:w="2434" w:type="dxa"/>
            <w:vAlign w:val="top"/>
          </w:tcPr>
          <w:p>
            <w:pPr>
              <w:widowControl w:val="0"/>
              <w:jc w:val="center"/>
              <w:rPr>
                <w:rFonts w:hint="default" w:ascii="仿宋_GB2312" w:hAnsi="仿宋_GB2312" w:eastAsia="仿宋_GB2312" w:cs="仿宋_GB2312"/>
                <w:b w:val="0"/>
                <w:bCs/>
                <w:color w:val="auto"/>
                <w:kern w:val="2"/>
                <w:sz w:val="32"/>
                <w:szCs w:val="32"/>
                <w:vertAlign w:val="baseline"/>
                <w:lang w:val="en-US" w:eastAsia="zh-CN" w:bidi="ar-SA"/>
              </w:rPr>
            </w:pPr>
            <w:r>
              <w:rPr>
                <w:rFonts w:hint="eastAsia" w:ascii="仿宋_GB2312" w:hAnsi="仿宋_GB2312" w:eastAsia="仿宋_GB2312" w:cs="仿宋_GB2312"/>
                <w:b w:val="0"/>
                <w:bCs/>
                <w:color w:val="auto"/>
                <w:kern w:val="2"/>
                <w:sz w:val="32"/>
                <w:szCs w:val="32"/>
                <w:vertAlign w:val="baseline"/>
                <w:lang w:val="en-US" w:eastAsia="zh-CN" w:bidi="ar-SA"/>
              </w:rPr>
              <w:t>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景新婷</w:t>
            </w:r>
          </w:p>
        </w:tc>
        <w:tc>
          <w:tcPr>
            <w:tcW w:w="4535" w:type="dxa"/>
          </w:tcPr>
          <w:p>
            <w:pPr>
              <w:widowControl w:val="0"/>
              <w:jc w:val="center"/>
              <w:rPr>
                <w:rStyle w:val="9"/>
                <w:rFonts w:hint="default" w:ascii="仿宋_GB2312" w:hAnsi="仿宋_GB2312" w:eastAsia="仿宋_GB2312" w:cs="仿宋_GB2312"/>
                <w:b w:val="0"/>
                <w:bCs/>
                <w:color w:val="auto"/>
                <w:sz w:val="32"/>
                <w:szCs w:val="32"/>
                <w:vertAlign w:val="baseline"/>
                <w:lang w:val="en-US" w:eastAsia="zh-CN"/>
              </w:rPr>
            </w:pPr>
            <w:r>
              <w:rPr>
                <w:rStyle w:val="9"/>
                <w:rFonts w:hint="eastAsia" w:ascii="仿宋_GB2312" w:hAnsi="仿宋_GB2312" w:eastAsia="仿宋_GB2312" w:cs="仿宋_GB2312"/>
                <w:b w:val="0"/>
                <w:bCs/>
                <w:color w:val="auto"/>
                <w:sz w:val="32"/>
                <w:szCs w:val="32"/>
                <w:vertAlign w:val="baseline"/>
                <w:lang w:val="en-US" w:eastAsia="zh-CN"/>
              </w:rPr>
              <w:t>党委委员、纪委书记</w:t>
            </w:r>
          </w:p>
        </w:tc>
        <w:tc>
          <w:tcPr>
            <w:tcW w:w="2434" w:type="dxa"/>
            <w:vAlign w:val="top"/>
          </w:tcPr>
          <w:p>
            <w:pPr>
              <w:widowControl w:val="0"/>
              <w:jc w:val="center"/>
              <w:rPr>
                <w:rFonts w:hint="default" w:ascii="仿宋_GB2312" w:hAnsi="仿宋_GB2312" w:eastAsia="仿宋_GB2312" w:cs="仿宋_GB2312"/>
                <w:b w:val="0"/>
                <w:bCs/>
                <w:color w:val="auto"/>
                <w:kern w:val="2"/>
                <w:sz w:val="32"/>
                <w:szCs w:val="32"/>
                <w:vertAlign w:val="baseline"/>
                <w:lang w:val="en-US" w:eastAsia="zh-CN" w:bidi="ar-SA"/>
              </w:rPr>
            </w:pPr>
            <w:r>
              <w:rPr>
                <w:rFonts w:hint="eastAsia" w:ascii="仿宋_GB2312" w:hAnsi="仿宋_GB2312" w:eastAsia="仿宋_GB2312" w:cs="仿宋_GB2312"/>
                <w:b w:val="0"/>
                <w:bCs/>
                <w:color w:val="auto"/>
                <w:kern w:val="2"/>
                <w:sz w:val="32"/>
                <w:szCs w:val="32"/>
                <w:vertAlign w:val="baseline"/>
                <w:lang w:val="en-US" w:eastAsia="zh-CN" w:bidi="ar-SA"/>
              </w:rPr>
              <w:t>15.18</w:t>
            </w:r>
          </w:p>
        </w:tc>
      </w:tr>
    </w:tbl>
    <w:p>
      <w:pPr>
        <w:numPr>
          <w:ilvl w:val="0"/>
          <w:numId w:val="0"/>
        </w:numPr>
        <w:ind w:firstLine="640" w:firstLineChars="200"/>
        <w:rPr>
          <w:rStyle w:val="9"/>
          <w:rFonts w:hint="default"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val="en-US" w:eastAsia="zh-CN"/>
        </w:rPr>
        <w:t>五、重要人事变动</w:t>
      </w:r>
    </w:p>
    <w:p>
      <w:pPr>
        <w:ind w:firstLine="640" w:firstLineChars="200"/>
        <w:rPr>
          <w:rStyle w:val="9"/>
          <w:rFonts w:hint="default"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val="en-US" w:eastAsia="zh-CN"/>
        </w:rPr>
        <w:t>六、重大事项</w:t>
      </w:r>
    </w:p>
    <w:p>
      <w:pPr>
        <w:ind w:firstLine="640" w:firstLineChars="200"/>
        <w:rPr>
          <w:rStyle w:val="9"/>
          <w:rFonts w:hint="default"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val="en-US" w:eastAsia="zh-CN"/>
        </w:rPr>
        <w:t>七、员工招聘</w:t>
      </w:r>
    </w:p>
    <w:p>
      <w:pPr>
        <w:ind w:firstLine="640" w:firstLineChars="200"/>
        <w:rPr>
          <w:rStyle w:val="9"/>
          <w:rFonts w:hint="default"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val="en-US" w:eastAsia="zh-CN"/>
        </w:rPr>
        <w:t>八、社会责任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snapToGrid/>
        <w:spacing w:before="0" w:beforeAutospacing="0" w:after="0" w:afterAutospacing="0" w:line="240" w:lineRule="auto"/>
        <w:jc w:val="both"/>
        <w:textAlignment w:val="baseline"/>
        <w:rPr>
          <w:rStyle w:val="9"/>
          <w:rFonts w:hint="eastAsia" w:ascii="黑体" w:hAnsi="黑体" w:eastAsia="黑体" w:cs="黑体"/>
          <w:b w:val="0"/>
          <w:bCs/>
          <w:sz w:val="21"/>
          <w:szCs w:val="21"/>
          <w:lang w:val="en-US" w:eastAsia="zh-CN"/>
        </w:rPr>
      </w:pPr>
      <w:r>
        <w:rPr>
          <w:rStyle w:val="9"/>
          <w:rFonts w:hint="eastAsia" w:ascii="黑体" w:hAnsi="黑体" w:eastAsia="黑体" w:cs="黑体"/>
          <w:b w:val="0"/>
          <w:bCs/>
          <w:sz w:val="21"/>
          <w:szCs w:val="21"/>
          <w:lang w:eastAsia="zh-CN"/>
        </w:rPr>
        <w:t>附件</w:t>
      </w:r>
      <w:r>
        <w:rPr>
          <w:rStyle w:val="9"/>
          <w:rFonts w:hint="eastAsia" w:ascii="黑体" w:hAnsi="黑体" w:eastAsia="黑体" w:cs="黑体"/>
          <w:b w:val="0"/>
          <w:bCs/>
          <w:sz w:val="21"/>
          <w:szCs w:val="21"/>
          <w:lang w:val="en-US" w:eastAsia="zh-CN"/>
        </w:rPr>
        <w:t>1</w:t>
      </w:r>
    </w:p>
    <w:p>
      <w:pPr>
        <w:snapToGrid/>
        <w:spacing w:before="0" w:beforeAutospacing="0" w:after="0" w:afterAutospacing="0" w:line="240" w:lineRule="auto"/>
        <w:jc w:val="center"/>
        <w:textAlignment w:val="baseline"/>
        <w:rPr>
          <w:rStyle w:val="9"/>
          <w:rFonts w:hint="eastAsia" w:ascii="黑体" w:hAnsi="黑体" w:eastAsia="黑体" w:cs="黑体"/>
          <w:b w:val="0"/>
          <w:bCs/>
          <w:sz w:val="21"/>
          <w:szCs w:val="21"/>
          <w:lang w:val="en-US" w:eastAsia="zh-CN"/>
        </w:rPr>
      </w:pPr>
    </w:p>
    <w:p>
      <w:pPr>
        <w:snapToGrid/>
        <w:spacing w:before="0" w:beforeAutospacing="0" w:after="0" w:afterAutospacing="0" w:line="240" w:lineRule="auto"/>
        <w:jc w:val="center"/>
        <w:textAlignment w:val="baseline"/>
        <w:rPr>
          <w:rStyle w:val="9"/>
          <w:rFonts w:ascii="宋体" w:hAnsi="宋体"/>
          <w:b/>
          <w:i w:val="0"/>
          <w:caps w:val="0"/>
          <w:color w:val="auto"/>
          <w:spacing w:val="0"/>
          <w:w w:val="100"/>
          <w:sz w:val="44"/>
          <w:szCs w:val="44"/>
        </w:rPr>
      </w:pPr>
      <w:r>
        <w:rPr>
          <w:rStyle w:val="9"/>
          <w:rFonts w:hint="eastAsia" w:ascii="宋体" w:hAnsi="宋体"/>
          <w:b/>
          <w:i w:val="0"/>
          <w:caps w:val="0"/>
          <w:color w:val="auto"/>
          <w:spacing w:val="0"/>
          <w:w w:val="100"/>
          <w:sz w:val="44"/>
          <w:szCs w:val="44"/>
        </w:rPr>
        <w:t>秦皇岛市商贸国有资产投资经营有限公司</w:t>
      </w:r>
    </w:p>
    <w:p>
      <w:pPr>
        <w:snapToGrid/>
        <w:spacing w:before="0" w:beforeAutospacing="0" w:after="0" w:afterAutospacing="0" w:line="240" w:lineRule="auto"/>
        <w:jc w:val="center"/>
        <w:textAlignment w:val="baseline"/>
        <w:rPr>
          <w:rStyle w:val="9"/>
          <w:rFonts w:hint="default" w:ascii="宋体" w:hAnsi="宋体" w:eastAsia="宋体"/>
          <w:b/>
          <w:i w:val="0"/>
          <w:caps w:val="0"/>
          <w:color w:val="auto"/>
          <w:spacing w:val="0"/>
          <w:w w:val="100"/>
          <w:sz w:val="44"/>
          <w:szCs w:val="44"/>
          <w:lang w:val="en-US" w:eastAsia="zh-CN"/>
        </w:rPr>
      </w:pPr>
      <w:r>
        <w:rPr>
          <w:rStyle w:val="9"/>
          <w:rFonts w:hint="eastAsia" w:ascii="宋体" w:hAnsi="宋体"/>
          <w:b/>
          <w:i w:val="0"/>
          <w:caps w:val="0"/>
          <w:color w:val="auto"/>
          <w:spacing w:val="0"/>
          <w:w w:val="100"/>
          <w:sz w:val="44"/>
          <w:szCs w:val="44"/>
        </w:rPr>
        <w:t>20</w:t>
      </w:r>
      <w:r>
        <w:rPr>
          <w:rStyle w:val="9"/>
          <w:rFonts w:hint="eastAsia" w:ascii="宋体" w:hAnsi="宋体"/>
          <w:b/>
          <w:i w:val="0"/>
          <w:caps w:val="0"/>
          <w:color w:val="auto"/>
          <w:spacing w:val="0"/>
          <w:w w:val="100"/>
          <w:sz w:val="44"/>
          <w:szCs w:val="44"/>
          <w:lang w:val="en-US" w:eastAsia="zh-CN"/>
        </w:rPr>
        <w:t>22</w:t>
      </w:r>
      <w:r>
        <w:rPr>
          <w:rStyle w:val="9"/>
          <w:rFonts w:hint="eastAsia" w:ascii="宋体" w:hAnsi="宋体"/>
          <w:b/>
          <w:i w:val="0"/>
          <w:caps w:val="0"/>
          <w:color w:val="auto"/>
          <w:spacing w:val="0"/>
          <w:w w:val="100"/>
          <w:sz w:val="44"/>
          <w:szCs w:val="44"/>
        </w:rPr>
        <w:t>年工作总结</w:t>
      </w:r>
    </w:p>
    <w:p>
      <w:pPr>
        <w:keepNext w:val="0"/>
        <w:keepLines w:val="0"/>
        <w:pageBreakBefore w:val="0"/>
        <w:widowControl/>
        <w:kinsoku/>
        <w:wordWrap/>
        <w:overflowPunct/>
        <w:topLinePunct w:val="0"/>
        <w:autoSpaceDE/>
        <w:autoSpaceDN/>
        <w:bidi w:val="0"/>
        <w:adjustRightInd/>
        <w:snapToGrid/>
        <w:spacing w:before="313" w:beforeLines="10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rPr>
        <w:t>202</w:t>
      </w:r>
      <w:r>
        <w:rPr>
          <w:rFonts w:hint="eastAsia" w:ascii="仿宋_GB2312" w:hAnsi="仿宋_GB2312" w:eastAsia="仿宋_GB2312" w:cs="仿宋_GB2312"/>
          <w:b w:val="0"/>
          <w:i w:val="0"/>
          <w:caps w:val="0"/>
          <w:color w:val="auto"/>
          <w:spacing w:val="0"/>
          <w:w w:val="100"/>
          <w:sz w:val="32"/>
          <w:szCs w:val="32"/>
          <w:lang w:val="en-US" w:eastAsia="zh-CN"/>
        </w:rPr>
        <w:t>2</w:t>
      </w:r>
      <w:r>
        <w:rPr>
          <w:rFonts w:hint="eastAsia" w:ascii="仿宋_GB2312" w:hAnsi="仿宋_GB2312" w:eastAsia="仿宋_GB2312" w:cs="仿宋_GB2312"/>
          <w:b w:val="0"/>
          <w:i w:val="0"/>
          <w:caps w:val="0"/>
          <w:color w:val="auto"/>
          <w:spacing w:val="0"/>
          <w:w w:val="100"/>
          <w:sz w:val="32"/>
          <w:szCs w:val="32"/>
        </w:rPr>
        <w:t>年,我公司在市国资委党委正确领导下，坚持以习近平新时代中国特色社会主义思想为指导，紧紧围绕公司中心工作和市国资委下达的年度目标任务，扎实推进各项工作协调稳步</w:t>
      </w:r>
      <w:r>
        <w:rPr>
          <w:rFonts w:hint="eastAsia" w:ascii="仿宋_GB2312" w:hAnsi="仿宋_GB2312" w:eastAsia="仿宋_GB2312" w:cs="仿宋_GB2312"/>
          <w:b w:val="0"/>
          <w:i w:val="0"/>
          <w:caps w:val="0"/>
          <w:color w:val="auto"/>
          <w:spacing w:val="0"/>
          <w:w w:val="100"/>
          <w:sz w:val="32"/>
          <w:szCs w:val="32"/>
          <w:lang w:val="en-US" w:eastAsia="zh-CN"/>
        </w:rPr>
        <w:t>开</w:t>
      </w:r>
      <w:r>
        <w:rPr>
          <w:rFonts w:hint="eastAsia" w:ascii="仿宋_GB2312" w:hAnsi="仿宋_GB2312" w:eastAsia="仿宋_GB2312" w:cs="仿宋_GB2312"/>
          <w:b w:val="0"/>
          <w:i w:val="0"/>
          <w:caps w:val="0"/>
          <w:color w:val="auto"/>
          <w:spacing w:val="0"/>
          <w:w w:val="100"/>
          <w:sz w:val="32"/>
          <w:szCs w:val="32"/>
        </w:rPr>
        <w:t>展</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现将</w:t>
      </w:r>
      <w:r>
        <w:rPr>
          <w:rFonts w:hint="eastAsia" w:ascii="仿宋_GB2312" w:hAnsi="仿宋_GB2312" w:eastAsia="仿宋_GB2312" w:cs="仿宋_GB2312"/>
          <w:b w:val="0"/>
          <w:i w:val="0"/>
          <w:caps w:val="0"/>
          <w:color w:val="auto"/>
          <w:spacing w:val="0"/>
          <w:w w:val="100"/>
          <w:sz w:val="32"/>
          <w:szCs w:val="32"/>
        </w:rPr>
        <w:t>主要工作</w:t>
      </w:r>
      <w:r>
        <w:rPr>
          <w:rFonts w:hint="eastAsia" w:ascii="仿宋_GB2312" w:hAnsi="仿宋_GB2312" w:eastAsia="仿宋_GB2312" w:cs="仿宋_GB2312"/>
          <w:b w:val="0"/>
          <w:i w:val="0"/>
          <w:caps w:val="0"/>
          <w:color w:val="auto"/>
          <w:spacing w:val="0"/>
          <w:w w:val="100"/>
          <w:sz w:val="32"/>
          <w:szCs w:val="32"/>
          <w:lang w:val="en-US" w:eastAsia="zh-CN"/>
        </w:rPr>
        <w:t>情况总结</w:t>
      </w:r>
      <w:r>
        <w:rPr>
          <w:rFonts w:hint="eastAsia" w:ascii="仿宋_GB2312" w:hAnsi="仿宋_GB2312" w:eastAsia="仿宋_GB2312" w:cs="仿宋_GB2312"/>
          <w:b w:val="0"/>
          <w:i w:val="0"/>
          <w:caps w:val="0"/>
          <w:color w:val="auto"/>
          <w:spacing w:val="0"/>
          <w:w w:val="100"/>
          <w:sz w:val="32"/>
          <w:szCs w:val="32"/>
        </w:rPr>
        <w:t>如下</w:t>
      </w:r>
      <w:r>
        <w:rPr>
          <w:rFonts w:hint="eastAsia" w:ascii="仿宋_GB2312" w:hAnsi="仿宋_GB2312" w:eastAsia="仿宋_GB2312" w:cs="仿宋_GB2312"/>
          <w:b w:val="0"/>
          <w:i w:val="0"/>
          <w:caps w:val="0"/>
          <w:color w:val="auto"/>
          <w:spacing w:val="0"/>
          <w:w w:val="100"/>
          <w:sz w:val="32"/>
          <w:szCs w:val="32"/>
          <w:lang w:eastAsia="zh-CN"/>
        </w:rPr>
        <w:t>。</w:t>
      </w:r>
    </w:p>
    <w:p>
      <w:pPr>
        <w:widowControl w:val="0"/>
        <w:pBdr>
          <w:bottom w:val="single" w:color="FFFFFF" w:sz="4" w:space="31"/>
        </w:pBdr>
        <w:ind w:right="25" w:rightChars="12" w:firstLine="640" w:firstLineChars="200"/>
        <w:rPr>
          <w:rFonts w:hint="eastAsia" w:ascii="仿宋_GB2312" w:hAnsi="仿宋_GB2312" w:eastAsia="仿宋_GB2312" w:cs="仿宋_GB2312"/>
          <w:b w:val="0"/>
          <w:i w:val="0"/>
          <w:caps w:val="0"/>
          <w:color w:val="auto"/>
          <w:spacing w:val="0"/>
          <w:w w:val="100"/>
          <w:sz w:val="32"/>
          <w:szCs w:val="32"/>
        </w:rPr>
      </w:pPr>
      <w:r>
        <w:rPr>
          <w:rFonts w:hint="eastAsia" w:ascii="黑体" w:hAnsi="黑体" w:eastAsia="黑体" w:cs="黑体"/>
          <w:b w:val="0"/>
          <w:bCs w:val="0"/>
          <w:i w:val="0"/>
          <w:caps w:val="0"/>
          <w:color w:val="auto"/>
          <w:spacing w:val="0"/>
          <w:w w:val="100"/>
          <w:sz w:val="32"/>
          <w:szCs w:val="32"/>
          <w:lang w:val="en-US" w:eastAsia="zh-CN"/>
        </w:rPr>
        <w:t>二、</w:t>
      </w:r>
      <w:r>
        <w:rPr>
          <w:rFonts w:hint="eastAsia" w:ascii="黑体" w:hAnsi="黑体" w:eastAsia="黑体"/>
          <w:b w:val="0"/>
          <w:bCs/>
          <w:i w:val="0"/>
          <w:caps w:val="0"/>
          <w:color w:val="auto"/>
          <w:spacing w:val="0"/>
          <w:w w:val="100"/>
          <w:kern w:val="0"/>
          <w:sz w:val="32"/>
          <w:szCs w:val="32"/>
          <w:shd w:val="clear" w:color="auto" w:fill="FFFFFF"/>
          <w:lang w:val="en-US" w:eastAsia="zh-CN"/>
        </w:rPr>
        <w:t>主要</w:t>
      </w:r>
      <w:r>
        <w:rPr>
          <w:rFonts w:hint="eastAsia" w:ascii="黑体" w:hAnsi="黑体" w:eastAsia="黑体"/>
          <w:b w:val="0"/>
          <w:bCs/>
          <w:i w:val="0"/>
          <w:caps w:val="0"/>
          <w:color w:val="auto"/>
          <w:spacing w:val="0"/>
          <w:w w:val="100"/>
          <w:kern w:val="0"/>
          <w:sz w:val="32"/>
          <w:szCs w:val="32"/>
          <w:shd w:val="clear" w:color="auto" w:fill="FFFFFF"/>
        </w:rPr>
        <w:t>业务工作</w:t>
      </w:r>
    </w:p>
    <w:p>
      <w:pPr>
        <w:keepLines w:val="0"/>
        <w:pBdr>
          <w:bottom w:val="single" w:color="FFFFFF" w:sz="4" w:space="31"/>
        </w:pBdr>
        <w:snapToGrid/>
        <w:spacing w:before="0" w:beforeAutospacing="0" w:after="0" w:afterAutospacing="0" w:line="560" w:lineRule="exact"/>
        <w:ind w:right="25" w:firstLine="640" w:firstLineChars="200"/>
        <w:jc w:val="both"/>
        <w:textAlignment w:val="baseline"/>
        <w:rPr>
          <w:rFonts w:hint="eastAsia" w:ascii="楷体_GB2312" w:hAnsi="楷体_GB2312" w:eastAsia="楷体_GB2312" w:cs="楷体_GB2312"/>
          <w:b w:val="0"/>
          <w:bCs/>
          <w:i w:val="0"/>
          <w:caps w:val="0"/>
          <w:color w:val="auto"/>
          <w:spacing w:val="0"/>
          <w:w w:val="100"/>
          <w:kern w:val="0"/>
          <w:sz w:val="32"/>
          <w:szCs w:val="32"/>
          <w:lang w:eastAsia="zh-CN"/>
        </w:rPr>
      </w:pPr>
      <w:r>
        <w:rPr>
          <w:rFonts w:hint="eastAsia" w:ascii="楷体_GB2312" w:hAnsi="楷体_GB2312" w:eastAsia="楷体_GB2312" w:cs="楷体_GB2312"/>
          <w:b w:val="0"/>
          <w:bCs/>
          <w:i w:val="0"/>
          <w:caps w:val="0"/>
          <w:color w:val="auto"/>
          <w:spacing w:val="0"/>
          <w:w w:val="100"/>
          <w:kern w:val="0"/>
          <w:sz w:val="32"/>
          <w:szCs w:val="32"/>
          <w:shd w:val="clear" w:color="auto" w:fill="FFFFFF"/>
        </w:rPr>
        <w:t>（</w:t>
      </w:r>
      <w:r>
        <w:rPr>
          <w:rFonts w:hint="eastAsia" w:ascii="楷体_GB2312" w:hAnsi="楷体_GB2312" w:eastAsia="楷体_GB2312" w:cs="楷体_GB2312"/>
          <w:b w:val="0"/>
          <w:bCs/>
          <w:i w:val="0"/>
          <w:caps w:val="0"/>
          <w:color w:val="auto"/>
          <w:spacing w:val="0"/>
          <w:w w:val="100"/>
          <w:kern w:val="0"/>
          <w:sz w:val="32"/>
          <w:szCs w:val="32"/>
          <w:shd w:val="clear" w:color="auto" w:fill="FFFFFF"/>
          <w:lang w:val="en-US" w:eastAsia="zh-CN"/>
        </w:rPr>
        <w:t>一</w:t>
      </w:r>
      <w:r>
        <w:rPr>
          <w:rFonts w:hint="eastAsia" w:ascii="楷体_GB2312" w:hAnsi="楷体_GB2312" w:eastAsia="楷体_GB2312" w:cs="楷体_GB2312"/>
          <w:b w:val="0"/>
          <w:bCs/>
          <w:i w:val="0"/>
          <w:caps w:val="0"/>
          <w:color w:val="auto"/>
          <w:spacing w:val="0"/>
          <w:w w:val="100"/>
          <w:kern w:val="0"/>
          <w:sz w:val="32"/>
          <w:szCs w:val="32"/>
          <w:shd w:val="clear" w:color="auto" w:fill="FFFFFF"/>
        </w:rPr>
        <w:t>）</w:t>
      </w:r>
      <w:r>
        <w:rPr>
          <w:rFonts w:hint="eastAsia" w:ascii="楷体_GB2312" w:hAnsi="楷体_GB2312" w:eastAsia="楷体_GB2312" w:cs="楷体_GB2312"/>
          <w:b w:val="0"/>
          <w:bCs/>
          <w:i w:val="0"/>
          <w:caps w:val="0"/>
          <w:color w:val="auto"/>
          <w:spacing w:val="0"/>
          <w:w w:val="100"/>
          <w:kern w:val="0"/>
          <w:sz w:val="32"/>
          <w:szCs w:val="32"/>
          <w:shd w:val="clear" w:color="auto" w:fill="FFFFFF"/>
          <w:lang w:val="en-US" w:eastAsia="zh-CN"/>
        </w:rPr>
        <w:t>国有参股企业</w:t>
      </w:r>
      <w:r>
        <w:rPr>
          <w:rFonts w:hint="eastAsia" w:ascii="楷体_GB2312" w:hAnsi="楷体_GB2312" w:eastAsia="楷体_GB2312" w:cs="楷体_GB2312"/>
          <w:b w:val="0"/>
          <w:bCs/>
          <w:i w:val="0"/>
          <w:caps w:val="0"/>
          <w:color w:val="auto"/>
          <w:spacing w:val="0"/>
          <w:w w:val="100"/>
          <w:sz w:val="32"/>
          <w:szCs w:val="32"/>
        </w:rPr>
        <w:t>和国有资产管理工作</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公司管理租赁的资产共有7处，2022年应收租金2</w:t>
      </w:r>
      <w:r>
        <w:rPr>
          <w:rFonts w:hint="eastAsia" w:ascii="仿宋_GB2312" w:hAnsi="仿宋_GB2312" w:eastAsia="仿宋_GB2312" w:cs="仿宋_GB2312"/>
          <w:color w:val="auto"/>
          <w:sz w:val="32"/>
          <w:szCs w:val="32"/>
          <w:lang w:val="en-US" w:eastAsia="zh-CN"/>
        </w:rPr>
        <w:t>71.5</w:t>
      </w:r>
      <w:r>
        <w:rPr>
          <w:rFonts w:hint="eastAsia" w:ascii="仿宋_GB2312" w:hAnsi="仿宋_GB2312" w:eastAsia="仿宋_GB2312" w:cs="仿宋_GB2312"/>
          <w:color w:val="auto"/>
          <w:sz w:val="32"/>
          <w:szCs w:val="32"/>
        </w:rPr>
        <w:t>万元，因疫情原因，按照市国资委秦国资发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35号文件规定，对符合阶段性减免房屋租金的3家小微企业共减免租金49万元，实际收取租金</w:t>
      </w:r>
      <w:r>
        <w:rPr>
          <w:rFonts w:hint="eastAsia" w:ascii="仿宋_GB2312" w:hAnsi="仿宋_GB2312" w:eastAsia="仿宋_GB2312" w:cs="仿宋_GB2312"/>
          <w:color w:val="auto"/>
          <w:sz w:val="32"/>
          <w:szCs w:val="32"/>
          <w:lang w:val="en-US" w:eastAsia="zh-CN"/>
        </w:rPr>
        <w:t>178.5</w:t>
      </w:r>
      <w:r>
        <w:rPr>
          <w:rFonts w:hint="eastAsia" w:ascii="仿宋_GB2312" w:hAnsi="仿宋_GB2312" w:eastAsia="仿宋_GB2312" w:cs="仿宋_GB2312"/>
          <w:color w:val="auto"/>
          <w:sz w:val="32"/>
          <w:szCs w:val="32"/>
        </w:rPr>
        <w:t>万元。</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对参股管理的海岳金属材料交易中心建立了季报表、年审计、重大事项及时沟通协调的管理体系，保证了国有资产安全。</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采取法律手段，多方筹措资金，确保河北大街158号资产安全，最</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限度减少国有资产损失。因开利空调与原市贸易局债务纠纷问题，我公司于2017年被追加为第三执行人。今年3月我公司所属资产河北大街158号房产被市中级人民法院裁定执行欠款及利息697.39万元，并于当月在网上拍卖。在采取法律手段向市中院提出执行异议的同时，多方筹措资金于4月18日先行将所需执行款提交市中院，首先解除了资产被拍卖问题，后经与法院据理力争，4月27日市中院变更裁定执行金额为406.03万元，节省执行款291万元，最大限度减少了资产损失。现待省高院最终裁定。</w:t>
      </w:r>
    </w:p>
    <w:p>
      <w:pPr>
        <w:keepLines w:val="0"/>
        <w:numPr>
          <w:ilvl w:val="0"/>
          <w:numId w:val="0"/>
        </w:numPr>
        <w:pBdr>
          <w:bottom w:val="single" w:color="FFFFFF" w:sz="4" w:space="31"/>
        </w:pBdr>
        <w:snapToGrid/>
        <w:spacing w:before="0" w:beforeAutospacing="0" w:after="0" w:afterAutospacing="0" w:line="560" w:lineRule="exact"/>
        <w:ind w:right="25"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经与区法院执行庭协调，初步解决了河北大街158号房产一层与自然人于久硕资产划界问题，进一步明晰了国有资产产权，减少了国有资产损失。</w:t>
      </w:r>
    </w:p>
    <w:p>
      <w:pPr>
        <w:keepLines w:val="0"/>
        <w:numPr>
          <w:ilvl w:val="0"/>
          <w:numId w:val="0"/>
        </w:numPr>
        <w:pBdr>
          <w:bottom w:val="single" w:color="FFFFFF" w:sz="4" w:space="31"/>
        </w:pBdr>
        <w:snapToGrid/>
        <w:spacing w:before="0" w:beforeAutospacing="0" w:after="0" w:afterAutospacing="0" w:line="560" w:lineRule="exact"/>
        <w:ind w:right="25" w:rightChars="0" w:firstLine="640" w:firstLineChars="200"/>
        <w:jc w:val="both"/>
        <w:textAlignment w:val="baseline"/>
        <w:rPr>
          <w:rFonts w:hint="eastAsia" w:ascii="楷体_GB2312" w:hAnsi="黑体" w:eastAsia="楷体_GB2312"/>
          <w:b w:val="0"/>
          <w:bCs/>
          <w:i w:val="0"/>
          <w:caps w:val="0"/>
          <w:color w:val="auto"/>
          <w:spacing w:val="0"/>
          <w:w w:val="100"/>
          <w:sz w:val="32"/>
          <w:szCs w:val="32"/>
        </w:rPr>
      </w:pPr>
      <w:r>
        <w:rPr>
          <w:rFonts w:hint="eastAsia" w:ascii="楷体_GB2312" w:hAnsi="黑体" w:eastAsia="楷体_GB2312"/>
          <w:b w:val="0"/>
          <w:bCs/>
          <w:i w:val="0"/>
          <w:caps w:val="0"/>
          <w:color w:val="auto"/>
          <w:spacing w:val="0"/>
          <w:w w:val="100"/>
          <w:sz w:val="32"/>
          <w:szCs w:val="32"/>
          <w:lang w:val="en-US" w:eastAsia="zh-CN"/>
        </w:rPr>
        <w:t>（二）改制破产企业监管和</w:t>
      </w:r>
      <w:r>
        <w:rPr>
          <w:rFonts w:hint="eastAsia" w:ascii="楷体_GB2312" w:hAnsi="黑体" w:eastAsia="楷体_GB2312"/>
          <w:b w:val="0"/>
          <w:bCs/>
          <w:i w:val="0"/>
          <w:caps w:val="0"/>
          <w:color w:val="auto"/>
          <w:spacing w:val="0"/>
          <w:w w:val="100"/>
          <w:sz w:val="32"/>
          <w:szCs w:val="32"/>
        </w:rPr>
        <w:t>职工服务工作</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按秦企改办（2016）1号文件要求，要求股权变更企业出具《职工大会会议纪要》、《股东会议纪要》、《股东会议决议》、《债权债务说明》、《股权变更稳定风险评估报告》等材料，确保股权变更公开透明，手续齐全，切实保障全体股东利益，防止出现职工信访等不稳定情况发生。</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以资产抵押为手段，继续抓好安置费发放监管工作，保证改制后企业职工各项费用及时足额发放到位。</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进一步做好改制后企业</w:t>
      </w:r>
      <w:r>
        <w:rPr>
          <w:rFonts w:hint="eastAsia" w:ascii="仿宋_GB2312" w:hAnsi="仿宋_GB2312" w:eastAsia="仿宋_GB2312" w:cs="仿宋_GB2312"/>
          <w:color w:val="auto"/>
          <w:sz w:val="32"/>
          <w:szCs w:val="32"/>
          <w:lang w:val="en-US" w:eastAsia="zh-CN"/>
        </w:rPr>
        <w:t>职工</w:t>
      </w:r>
      <w:r>
        <w:rPr>
          <w:rFonts w:hint="eastAsia" w:ascii="仿宋_GB2312" w:hAnsi="仿宋_GB2312" w:eastAsia="仿宋_GB2312" w:cs="仿宋_GB2312"/>
          <w:color w:val="auto"/>
          <w:sz w:val="32"/>
          <w:szCs w:val="32"/>
        </w:rPr>
        <w:t>服务工作。一是协助市德信医药公司完成了改制后资产确权工作，为改制时未及时过户的海阳南街综合批发站房产出具了相关报备手续。二是完成了市北戴河招待所的档案修订工作，已</w:t>
      </w:r>
      <w:r>
        <w:rPr>
          <w:rFonts w:hint="eastAsia" w:ascii="仿宋_GB2312" w:hAnsi="仿宋_GB2312" w:eastAsia="仿宋_GB2312" w:cs="仿宋_GB2312"/>
          <w:color w:val="auto"/>
          <w:sz w:val="32"/>
          <w:szCs w:val="32"/>
          <w:lang w:val="en-US" w:eastAsia="zh-CN"/>
        </w:rPr>
        <w:t>移</w:t>
      </w:r>
      <w:r>
        <w:rPr>
          <w:rFonts w:hint="eastAsia" w:ascii="仿宋_GB2312" w:hAnsi="仿宋_GB2312" w:eastAsia="仿宋_GB2312" w:cs="仿宋_GB2312"/>
          <w:color w:val="auto"/>
          <w:sz w:val="32"/>
          <w:szCs w:val="32"/>
        </w:rPr>
        <w:t>交综合办保存。三是认真按照股权转让要求进行审核，为银亿公司办理了股权变更手续。</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按国资委要求，对秦瑞食品有限公司下达了《关于上交土地使用权</w:t>
      </w:r>
      <w:r>
        <w:rPr>
          <w:rFonts w:hint="eastAsia" w:ascii="仿宋_GB2312" w:hAnsi="仿宋_GB2312" w:eastAsia="仿宋_GB2312" w:cs="仿宋_GB2312"/>
          <w:color w:val="auto"/>
          <w:sz w:val="32"/>
          <w:szCs w:val="32"/>
          <w:lang w:val="en-US" w:eastAsia="zh-CN"/>
        </w:rPr>
        <w:t>收</w:t>
      </w:r>
      <w:r>
        <w:rPr>
          <w:rFonts w:hint="eastAsia" w:ascii="仿宋_GB2312" w:hAnsi="仿宋_GB2312" w:eastAsia="仿宋_GB2312" w:cs="仿宋_GB2312"/>
          <w:color w:val="auto"/>
          <w:sz w:val="32"/>
          <w:szCs w:val="32"/>
        </w:rPr>
        <w:t>益的通知》，要求其上交688.52万元产权转让收益到市财政改制资金专户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配合市财政局推进对市旧货市场在改制时所欠债务追缴工作。</w:t>
      </w:r>
    </w:p>
    <w:p>
      <w:pPr>
        <w:keepLines w:val="0"/>
        <w:numPr>
          <w:ilvl w:val="0"/>
          <w:numId w:val="0"/>
        </w:numPr>
        <w:pBdr>
          <w:bottom w:val="single" w:color="FFFFFF" w:sz="4" w:space="31"/>
        </w:pBdr>
        <w:snapToGrid/>
        <w:spacing w:before="0" w:beforeAutospacing="0" w:after="0" w:afterAutospacing="0" w:line="560" w:lineRule="exact"/>
        <w:ind w:right="25" w:rightChars="0" w:firstLine="640" w:firstLineChars="200"/>
        <w:jc w:val="both"/>
        <w:textAlignment w:val="baseline"/>
        <w:rPr>
          <w:rStyle w:val="9"/>
          <w:rFonts w:hint="eastAsia" w:ascii="楷体_GB2312" w:hAnsi="黑体" w:eastAsia="楷体_GB2312"/>
          <w:b w:val="0"/>
          <w:bCs/>
          <w:i w:val="0"/>
          <w:caps w:val="0"/>
          <w:color w:val="auto"/>
          <w:spacing w:val="0"/>
          <w:w w:val="100"/>
          <w:sz w:val="32"/>
          <w:szCs w:val="32"/>
        </w:rPr>
      </w:pPr>
      <w:r>
        <w:rPr>
          <w:rStyle w:val="9"/>
          <w:rFonts w:hint="eastAsia" w:ascii="楷体_GB2312" w:hAnsi="黑体" w:eastAsia="楷体_GB2312"/>
          <w:b w:val="0"/>
          <w:bCs/>
          <w:i w:val="0"/>
          <w:caps w:val="0"/>
          <w:color w:val="auto"/>
          <w:spacing w:val="0"/>
          <w:w w:val="100"/>
          <w:sz w:val="32"/>
          <w:szCs w:val="32"/>
          <w:lang w:eastAsia="zh-CN"/>
        </w:rPr>
        <w:t>（</w:t>
      </w:r>
      <w:r>
        <w:rPr>
          <w:rStyle w:val="9"/>
          <w:rFonts w:hint="eastAsia" w:ascii="楷体_GB2312" w:hAnsi="黑体" w:eastAsia="楷体_GB2312"/>
          <w:b w:val="0"/>
          <w:bCs/>
          <w:i w:val="0"/>
          <w:caps w:val="0"/>
          <w:color w:val="auto"/>
          <w:spacing w:val="0"/>
          <w:w w:val="100"/>
          <w:sz w:val="32"/>
          <w:szCs w:val="32"/>
          <w:lang w:val="en-US" w:eastAsia="zh-CN"/>
        </w:rPr>
        <w:t>三</w:t>
      </w:r>
      <w:r>
        <w:rPr>
          <w:rStyle w:val="9"/>
          <w:rFonts w:hint="eastAsia" w:ascii="楷体_GB2312" w:hAnsi="黑体" w:eastAsia="楷体_GB2312"/>
          <w:b w:val="0"/>
          <w:bCs/>
          <w:i w:val="0"/>
          <w:caps w:val="0"/>
          <w:color w:val="auto"/>
          <w:spacing w:val="0"/>
          <w:w w:val="100"/>
          <w:sz w:val="32"/>
          <w:szCs w:val="32"/>
          <w:lang w:eastAsia="zh-CN"/>
        </w:rPr>
        <w:t>）</w:t>
      </w:r>
      <w:r>
        <w:rPr>
          <w:rStyle w:val="9"/>
          <w:rFonts w:hint="eastAsia" w:ascii="楷体_GB2312" w:hAnsi="黑体" w:eastAsia="楷体_GB2312"/>
          <w:b w:val="0"/>
          <w:bCs/>
          <w:i w:val="0"/>
          <w:caps w:val="0"/>
          <w:color w:val="auto"/>
          <w:spacing w:val="0"/>
          <w:w w:val="100"/>
          <w:sz w:val="32"/>
          <w:szCs w:val="32"/>
        </w:rPr>
        <w:t>离休干部</w:t>
      </w:r>
      <w:r>
        <w:rPr>
          <w:rStyle w:val="9"/>
          <w:rFonts w:hint="eastAsia" w:ascii="楷体_GB2312" w:hAnsi="黑体" w:eastAsia="楷体_GB2312"/>
          <w:b w:val="0"/>
          <w:bCs/>
          <w:i w:val="0"/>
          <w:caps w:val="0"/>
          <w:color w:val="auto"/>
          <w:spacing w:val="0"/>
          <w:w w:val="100"/>
          <w:sz w:val="32"/>
          <w:szCs w:val="32"/>
          <w:lang w:eastAsia="zh-CN"/>
        </w:rPr>
        <w:t>、</w:t>
      </w:r>
      <w:r>
        <w:rPr>
          <w:rStyle w:val="9"/>
          <w:rFonts w:hint="eastAsia" w:ascii="楷体_GB2312" w:hAnsi="黑体" w:eastAsia="楷体_GB2312"/>
          <w:b w:val="0"/>
          <w:bCs/>
          <w:i w:val="0"/>
          <w:caps w:val="0"/>
          <w:color w:val="auto"/>
          <w:spacing w:val="0"/>
          <w:w w:val="100"/>
          <w:sz w:val="32"/>
          <w:szCs w:val="32"/>
          <w:lang w:val="en-US" w:eastAsia="zh-CN"/>
        </w:rPr>
        <w:t>退休职工管理</w:t>
      </w:r>
      <w:r>
        <w:rPr>
          <w:rStyle w:val="9"/>
          <w:rFonts w:hint="eastAsia" w:ascii="楷体_GB2312" w:hAnsi="黑体" w:eastAsia="楷体_GB2312"/>
          <w:b w:val="0"/>
          <w:bCs/>
          <w:i w:val="0"/>
          <w:caps w:val="0"/>
          <w:color w:val="auto"/>
          <w:spacing w:val="0"/>
          <w:w w:val="100"/>
          <w:sz w:val="32"/>
          <w:szCs w:val="32"/>
        </w:rPr>
        <w:t>和</w:t>
      </w:r>
      <w:r>
        <w:rPr>
          <w:rStyle w:val="9"/>
          <w:rFonts w:hint="eastAsia" w:ascii="楷体_GB2312" w:hAnsi="黑体" w:eastAsia="楷体_GB2312"/>
          <w:b w:val="0"/>
          <w:bCs/>
          <w:i w:val="0"/>
          <w:caps w:val="0"/>
          <w:color w:val="auto"/>
          <w:spacing w:val="0"/>
          <w:w w:val="100"/>
          <w:sz w:val="32"/>
          <w:szCs w:val="32"/>
          <w:lang w:val="en-US" w:eastAsia="zh-CN"/>
        </w:rPr>
        <w:t>职工</w:t>
      </w:r>
      <w:r>
        <w:rPr>
          <w:rStyle w:val="9"/>
          <w:rFonts w:hint="eastAsia" w:ascii="楷体_GB2312" w:hAnsi="黑体" w:eastAsia="楷体_GB2312"/>
          <w:b w:val="0"/>
          <w:bCs/>
          <w:i w:val="0"/>
          <w:caps w:val="0"/>
          <w:color w:val="auto"/>
          <w:spacing w:val="0"/>
          <w:w w:val="100"/>
          <w:sz w:val="32"/>
          <w:szCs w:val="32"/>
        </w:rPr>
        <w:t>服务工作</w:t>
      </w:r>
    </w:p>
    <w:p>
      <w:pPr>
        <w:pBdr>
          <w:bottom w:val="single" w:color="FFFFFF" w:sz="4" w:space="31"/>
        </w:pBdr>
        <w:spacing w:line="560" w:lineRule="exact"/>
        <w:ind w:right="25"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我公司现管理破产企业、托管企业共1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家，职工4</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人，离休干部和遗属1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w:t>
      </w:r>
    </w:p>
    <w:p>
      <w:pPr>
        <w:pBdr>
          <w:bottom w:val="single" w:color="FFFFFF" w:sz="4" w:space="31"/>
        </w:pBdr>
        <w:spacing w:line="560" w:lineRule="exact"/>
        <w:ind w:right="25"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2022年为离休干部申请发放各项费用</w:t>
      </w:r>
      <w:r>
        <w:rPr>
          <w:rFonts w:hint="eastAsia" w:ascii="仿宋_GB2312" w:hAnsi="仿宋_GB2312" w:eastAsia="仿宋_GB2312" w:cs="仿宋_GB2312"/>
          <w:color w:val="auto"/>
          <w:sz w:val="32"/>
          <w:szCs w:val="32"/>
          <w:lang w:val="en-US" w:eastAsia="zh-CN"/>
        </w:rPr>
        <w:t>8.1</w:t>
      </w:r>
      <w:r>
        <w:rPr>
          <w:rFonts w:hint="eastAsia" w:ascii="仿宋_GB2312" w:hAnsi="仿宋_GB2312" w:eastAsia="仿宋_GB2312" w:cs="仿宋_GB2312"/>
          <w:color w:val="auto"/>
          <w:sz w:val="32"/>
          <w:szCs w:val="32"/>
        </w:rPr>
        <w:t>万元，为外地居住和自行报销有困难的离休干部代办药费报销</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.2万元。走访慰问离休干部35人次，发放慰问金1.36万元。</w:t>
      </w:r>
    </w:p>
    <w:p>
      <w:pPr>
        <w:pBdr>
          <w:bottom w:val="single" w:color="FFFFFF" w:sz="4" w:space="31"/>
        </w:pBdr>
        <w:spacing w:line="560" w:lineRule="exact"/>
        <w:ind w:right="25"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2022年发放职工长期费用58万元，发放事改企单位职工待遇差69万元。</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积极协调解决改制后自谋职业的职工涉及的遗留问题。全年为职工办理公有住房出售、档案查询、慢性病申报、提取公积金、完善退休资料等各类事项229件。为百货总公司解决遗留问题，协调人社局确定改制基准日，使原企业多名职工顺利办理了退休手续，得到了生活保障。</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为137名</w:t>
      </w:r>
      <w:r>
        <w:rPr>
          <w:rFonts w:hint="eastAsia" w:ascii="仿宋_GB2312" w:hAnsi="仿宋_GB2312" w:eastAsia="仿宋_GB2312" w:cs="仿宋_GB2312"/>
          <w:color w:val="auto"/>
          <w:sz w:val="32"/>
          <w:szCs w:val="32"/>
          <w:lang w:val="en-US" w:eastAsia="zh-CN"/>
        </w:rPr>
        <w:t>退休</w:t>
      </w:r>
      <w:r>
        <w:rPr>
          <w:rFonts w:hint="eastAsia" w:ascii="仿宋_GB2312" w:hAnsi="仿宋_GB2312" w:eastAsia="仿宋_GB2312" w:cs="仿宋_GB2312"/>
          <w:color w:val="auto"/>
          <w:sz w:val="32"/>
          <w:szCs w:val="32"/>
        </w:rPr>
        <w:t>职工发放了独生子女一孩化奖励41.1万元。为 260名今年新退休职工审核上报了独生子女一孩奖励补助资料。</w:t>
      </w:r>
    </w:p>
    <w:p>
      <w:pPr>
        <w:keepLines w:val="0"/>
        <w:numPr>
          <w:ilvl w:val="0"/>
          <w:numId w:val="0"/>
        </w:numPr>
        <w:pBdr>
          <w:bottom w:val="single" w:color="FFFFFF" w:sz="4" w:space="31"/>
        </w:pBdr>
        <w:snapToGrid/>
        <w:spacing w:before="0" w:beforeAutospacing="0" w:after="0" w:afterAutospacing="0" w:line="560" w:lineRule="exact"/>
        <w:ind w:right="25" w:rightChars="0" w:firstLine="640" w:firstLineChars="200"/>
        <w:jc w:val="both"/>
        <w:textAlignment w:val="baseline"/>
        <w:rPr>
          <w:rFonts w:hint="eastAsia" w:ascii="楷体_GB2312" w:hAnsi="黑体" w:eastAsia="楷体_GB2312"/>
          <w:b w:val="0"/>
          <w:bCs/>
          <w:i w:val="0"/>
          <w:caps w:val="0"/>
          <w:color w:val="auto"/>
          <w:spacing w:val="0"/>
          <w:w w:val="100"/>
          <w:sz w:val="32"/>
          <w:szCs w:val="32"/>
          <w:lang w:val="en-US" w:eastAsia="zh-CN"/>
        </w:rPr>
      </w:pPr>
      <w:r>
        <w:rPr>
          <w:rFonts w:hint="eastAsia" w:ascii="楷体_GB2312" w:hAnsi="黑体" w:eastAsia="楷体_GB2312"/>
          <w:b w:val="0"/>
          <w:bCs/>
          <w:i w:val="0"/>
          <w:caps w:val="0"/>
          <w:color w:val="auto"/>
          <w:spacing w:val="0"/>
          <w:w w:val="100"/>
          <w:sz w:val="32"/>
          <w:szCs w:val="32"/>
          <w:lang w:eastAsia="zh-CN"/>
        </w:rPr>
        <w:t>（</w:t>
      </w:r>
      <w:r>
        <w:rPr>
          <w:rFonts w:hint="eastAsia" w:ascii="楷体_GB2312" w:hAnsi="黑体" w:eastAsia="楷体_GB2312"/>
          <w:b w:val="0"/>
          <w:bCs/>
          <w:i w:val="0"/>
          <w:caps w:val="0"/>
          <w:color w:val="auto"/>
          <w:spacing w:val="0"/>
          <w:w w:val="100"/>
          <w:sz w:val="32"/>
          <w:szCs w:val="32"/>
          <w:lang w:val="en-US" w:eastAsia="zh-CN"/>
        </w:rPr>
        <w:t>四</w:t>
      </w:r>
      <w:r>
        <w:rPr>
          <w:rFonts w:hint="eastAsia" w:ascii="楷体_GB2312" w:hAnsi="黑体" w:eastAsia="楷体_GB2312"/>
          <w:b w:val="0"/>
          <w:bCs/>
          <w:i w:val="0"/>
          <w:caps w:val="0"/>
          <w:color w:val="auto"/>
          <w:spacing w:val="0"/>
          <w:w w:val="100"/>
          <w:sz w:val="32"/>
          <w:szCs w:val="32"/>
          <w:lang w:eastAsia="zh-CN"/>
        </w:rPr>
        <w:t>）</w:t>
      </w:r>
      <w:r>
        <w:rPr>
          <w:rFonts w:hint="eastAsia" w:ascii="楷体_GB2312" w:hAnsi="黑体" w:eastAsia="楷体_GB2312"/>
          <w:b w:val="0"/>
          <w:bCs/>
          <w:i w:val="0"/>
          <w:caps w:val="0"/>
          <w:color w:val="auto"/>
          <w:spacing w:val="0"/>
          <w:w w:val="100"/>
          <w:sz w:val="32"/>
          <w:szCs w:val="32"/>
        </w:rPr>
        <w:t>三供一业</w:t>
      </w:r>
      <w:r>
        <w:rPr>
          <w:rFonts w:hint="eastAsia" w:ascii="楷体_GB2312" w:hAnsi="黑体" w:eastAsia="楷体_GB2312"/>
          <w:b w:val="0"/>
          <w:bCs/>
          <w:i w:val="0"/>
          <w:caps w:val="0"/>
          <w:color w:val="auto"/>
          <w:spacing w:val="0"/>
          <w:w w:val="100"/>
          <w:sz w:val="32"/>
          <w:szCs w:val="32"/>
          <w:lang w:val="en-US" w:eastAsia="zh-CN"/>
        </w:rPr>
        <w:t>工作</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1.完成</w:t>
      </w:r>
      <w:r>
        <w:rPr>
          <w:rFonts w:hint="eastAsia" w:ascii="仿宋_GB2312" w:hAnsi="仿宋_GB2312" w:eastAsia="仿宋_GB2312" w:cs="仿宋_GB2312"/>
          <w:color w:val="auto"/>
          <w:sz w:val="32"/>
          <w:szCs w:val="32"/>
        </w:rPr>
        <w:t>我公司管理的兴隆里小区243户水分离改造，工程决算已报来。申报预算改造资金150万元，已拨50万元。决算审减后需支付剩余工程款80.16万元，经与市财政局沟通，2022年因资金紧张，剩余改造资金暂不能拨付，需在2023年预算时重新申报。</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2.完成</w:t>
      </w:r>
      <w:r>
        <w:rPr>
          <w:rFonts w:hint="eastAsia" w:ascii="仿宋_GB2312" w:hAnsi="仿宋_GB2312" w:eastAsia="仿宋_GB2312" w:cs="仿宋_GB2312"/>
          <w:color w:val="auto"/>
          <w:sz w:val="32"/>
          <w:szCs w:val="32"/>
        </w:rPr>
        <w:t>我公司所属破产企业金属公司长城花园水分离改造和污水改造工作。在资金未到位情况下，和财政局财信公司共同与自来水公司协商，由财信公司先垫资10万元，完成了困扰多年的12户职工住宅的水分离分户改造。该公司职工住宅的污水处理一直不符合环保要求，直排入小马坊河，多次被环保部门警告，因管道老化经常出现污水外溢。经我公司主要领导协调污水处理公司，在无资金情况下，完成了长城花园职工住宅污水管道改造，从根本上解决了污水排放的污染问题。上述两项改造费用预计20万元，已在年底2023年预算时进行了申报。</w:t>
      </w:r>
    </w:p>
    <w:p>
      <w:pPr>
        <w:numPr>
          <w:ilvl w:val="0"/>
          <w:numId w:val="0"/>
        </w:numPr>
        <w:pBdr>
          <w:bottom w:val="single" w:color="FFFFFF" w:sz="4" w:space="31"/>
        </w:pBdr>
        <w:spacing w:line="560" w:lineRule="exact"/>
        <w:ind w:right="25"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解决破产企业金属公司职工住宅燃气问题。自今年五月以来，经多次与燃气公司、旅发集团、大酒店、城管局物业等多个部门联系协调，在未用资金的情况下，九月初为金属公司长城花园12户职工住宅接上</w:t>
      </w:r>
      <w:r>
        <w:rPr>
          <w:rFonts w:hint="eastAsia" w:ascii="仿宋_GB2312" w:hAnsi="仿宋_GB2312" w:eastAsia="仿宋_GB2312" w:cs="仿宋_GB2312"/>
          <w:color w:val="auto"/>
          <w:sz w:val="32"/>
          <w:szCs w:val="32"/>
          <w:lang w:val="en-US" w:eastAsia="zh-CN"/>
        </w:rPr>
        <w:t>燃</w:t>
      </w:r>
      <w:r>
        <w:rPr>
          <w:rFonts w:hint="eastAsia" w:ascii="仿宋_GB2312" w:hAnsi="仿宋_GB2312" w:eastAsia="仿宋_GB2312" w:cs="仿宋_GB2312"/>
          <w:color w:val="auto"/>
          <w:sz w:val="32"/>
          <w:szCs w:val="32"/>
        </w:rPr>
        <w:t>气，解决了困扰二十多年的老大难问题。</w:t>
      </w:r>
    </w:p>
    <w:p>
      <w:pPr>
        <w:pBdr>
          <w:bottom w:val="single" w:color="FFFFFF" w:sz="4" w:space="31"/>
        </w:pBdr>
        <w:spacing w:line="560" w:lineRule="exact"/>
        <w:ind w:right="25"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2022年为兴隆里小区维修职工住宅11户，清理小区污水管道3次。多次协助团结里社区进行疫情防控。</w:t>
      </w:r>
    </w:p>
    <w:p>
      <w:pPr>
        <w:keepLines w:val="0"/>
        <w:pBdr>
          <w:bottom w:val="single" w:color="FFFFFF" w:sz="4" w:space="31"/>
        </w:pBdr>
        <w:snapToGrid/>
        <w:spacing w:before="0" w:beforeAutospacing="0" w:after="0" w:afterAutospacing="0" w:line="560" w:lineRule="exact"/>
        <w:ind w:right="25" w:firstLine="640" w:firstLineChars="200"/>
        <w:jc w:val="both"/>
        <w:textAlignment w:val="baseline"/>
        <w:rPr>
          <w:rFonts w:hint="eastAsia" w:ascii="楷体_GB2312" w:hAnsi="黑体" w:eastAsia="楷体_GB2312"/>
          <w:b w:val="0"/>
          <w:bCs w:val="0"/>
          <w:i w:val="0"/>
          <w:caps w:val="0"/>
          <w:color w:val="auto"/>
          <w:spacing w:val="0"/>
          <w:w w:val="100"/>
          <w:sz w:val="32"/>
          <w:szCs w:val="32"/>
        </w:rPr>
      </w:pPr>
      <w:r>
        <w:rPr>
          <w:rFonts w:hint="eastAsia" w:ascii="楷体_GB2312" w:hAnsi="黑体" w:eastAsia="楷体_GB2312"/>
          <w:b w:val="0"/>
          <w:bCs w:val="0"/>
          <w:i w:val="0"/>
          <w:caps w:val="0"/>
          <w:color w:val="auto"/>
          <w:spacing w:val="0"/>
          <w:w w:val="100"/>
          <w:sz w:val="32"/>
          <w:szCs w:val="32"/>
        </w:rPr>
        <w:t>（</w:t>
      </w:r>
      <w:r>
        <w:rPr>
          <w:rFonts w:hint="eastAsia" w:ascii="楷体_GB2312" w:hAnsi="黑体" w:eastAsia="楷体_GB2312"/>
          <w:b w:val="0"/>
          <w:bCs w:val="0"/>
          <w:i w:val="0"/>
          <w:caps w:val="0"/>
          <w:color w:val="auto"/>
          <w:spacing w:val="0"/>
          <w:w w:val="100"/>
          <w:sz w:val="32"/>
          <w:szCs w:val="32"/>
          <w:lang w:val="en-US" w:eastAsia="zh-CN"/>
        </w:rPr>
        <w:t>五</w:t>
      </w:r>
      <w:r>
        <w:rPr>
          <w:rFonts w:hint="eastAsia" w:ascii="楷体_GB2312" w:hAnsi="黑体" w:eastAsia="楷体_GB2312"/>
          <w:b w:val="0"/>
          <w:bCs w:val="0"/>
          <w:i w:val="0"/>
          <w:caps w:val="0"/>
          <w:color w:val="auto"/>
          <w:spacing w:val="0"/>
          <w:w w:val="100"/>
          <w:sz w:val="32"/>
          <w:szCs w:val="32"/>
        </w:rPr>
        <w:t>）</w:t>
      </w:r>
      <w:r>
        <w:rPr>
          <w:rFonts w:hint="eastAsia" w:ascii="楷体_GB2312" w:hAnsi="黑体" w:eastAsia="楷体_GB2312"/>
          <w:b w:val="0"/>
          <w:bCs w:val="0"/>
          <w:i w:val="0"/>
          <w:caps w:val="0"/>
          <w:color w:val="auto"/>
          <w:spacing w:val="0"/>
          <w:w w:val="100"/>
          <w:sz w:val="32"/>
          <w:szCs w:val="32"/>
          <w:lang w:val="en-US" w:eastAsia="zh-CN"/>
        </w:rPr>
        <w:t>安全生产</w:t>
      </w:r>
      <w:r>
        <w:rPr>
          <w:rFonts w:hint="eastAsia" w:ascii="楷体_GB2312" w:hAnsi="黑体" w:eastAsia="楷体_GB2312"/>
          <w:b w:val="0"/>
          <w:bCs w:val="0"/>
          <w:i w:val="0"/>
          <w:caps w:val="0"/>
          <w:color w:val="auto"/>
          <w:spacing w:val="0"/>
          <w:w w:val="100"/>
          <w:sz w:val="32"/>
          <w:szCs w:val="32"/>
        </w:rPr>
        <w:t>工作</w:t>
      </w:r>
    </w:p>
    <w:p>
      <w:pPr>
        <w:pBdr>
          <w:bottom w:val="single" w:color="FFFFFF" w:sz="4" w:space="31"/>
        </w:pBdr>
        <w:spacing w:line="560" w:lineRule="exact"/>
        <w:ind w:right="25" w:firstLine="640" w:firstLineChars="200"/>
        <w:textAlignment w:val="baseline"/>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一是在抓好自身安全生产学习教育的同时，采取定期巡查、不定期抽查等形式对公司出租的资产进行安全生产监管、指导，确保不出安全生产事故。二是重点做好存在环保隐患的原市金属材料交易市场院内废油脂的环控工作，力保不出事故。主要采取法律手段，对原废油脂所有人进行追诉，并申请法院强制执行，要求其清运危废油脂、恢复场地原貌。其次积极寻找有资质、有能力的危废处理企业，先行处置然后再向所有人追偿费用。同时和市、区环保部门积极沟通协调，请其给予协调帮助并在政策方面给予指导，为今后工作做好铺垫。</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是成立了处置废物物品专项领导小组，制定了紧急预案，加强日常跟踪、维护，防止突发事件发生。</w:t>
      </w:r>
    </w:p>
    <w:p>
      <w:pPr>
        <w:keepNext w:val="0"/>
        <w:keepLines w:val="0"/>
        <w:pageBreakBefore w:val="0"/>
        <w:pBdr>
          <w:bottom w:val="single" w:color="FFFFFF" w:sz="4" w:space="31"/>
        </w:pBdr>
        <w:kinsoku/>
        <w:wordWrap/>
        <w:overflowPunct/>
        <w:topLinePunct w:val="0"/>
        <w:autoSpaceDE/>
        <w:autoSpaceDN/>
        <w:bidi w:val="0"/>
        <w:adjustRightInd/>
        <w:snapToGrid/>
        <w:spacing w:before="0" w:beforeAutospacing="0" w:after="0" w:afterAutospacing="0" w:line="560" w:lineRule="exact"/>
        <w:ind w:right="25" w:firstLine="640" w:firstLineChars="200"/>
        <w:jc w:val="both"/>
        <w:textAlignment w:val="baseline"/>
        <w:rPr>
          <w:rFonts w:hint="eastAsia" w:ascii="仿宋_GB2312" w:hAnsi="仿宋_GB2312" w:eastAsia="仿宋_GB2312" w:cs="仿宋_GB2312"/>
          <w:b w:val="0"/>
          <w:i w:val="0"/>
          <w:caps w:val="0"/>
          <w:color w:val="auto"/>
          <w:spacing w:val="0"/>
          <w:w w:val="100"/>
          <w:kern w:val="0"/>
          <w:sz w:val="32"/>
          <w:szCs w:val="32"/>
        </w:rPr>
      </w:pPr>
      <w:r>
        <w:rPr>
          <w:rFonts w:hint="eastAsia" w:ascii="仿宋_GB2312" w:hAnsi="仿宋_GB2312" w:eastAsia="仿宋_GB2312" w:cs="仿宋_GB2312"/>
          <w:b w:val="0"/>
          <w:i w:val="0"/>
          <w:caps w:val="0"/>
          <w:color w:val="auto"/>
          <w:spacing w:val="0"/>
          <w:w w:val="100"/>
          <w:sz w:val="32"/>
          <w:szCs w:val="32"/>
        </w:rPr>
        <w:t>20</w:t>
      </w:r>
      <w:r>
        <w:rPr>
          <w:rFonts w:hint="eastAsia" w:ascii="仿宋_GB2312" w:hAnsi="仿宋_GB2312" w:eastAsia="仿宋_GB2312" w:cs="仿宋_GB2312"/>
          <w:b w:val="0"/>
          <w:i w:val="0"/>
          <w:caps w:val="0"/>
          <w:color w:val="auto"/>
          <w:spacing w:val="0"/>
          <w:w w:val="100"/>
          <w:sz w:val="32"/>
          <w:szCs w:val="32"/>
          <w:lang w:val="en-US" w:eastAsia="zh-CN"/>
        </w:rPr>
        <w:t>22</w:t>
      </w:r>
      <w:r>
        <w:rPr>
          <w:rFonts w:hint="eastAsia" w:ascii="仿宋_GB2312" w:hAnsi="仿宋_GB2312" w:eastAsia="仿宋_GB2312" w:cs="仿宋_GB2312"/>
          <w:b w:val="0"/>
          <w:i w:val="0"/>
          <w:caps w:val="0"/>
          <w:color w:val="auto"/>
          <w:spacing w:val="0"/>
          <w:w w:val="100"/>
          <w:sz w:val="32"/>
          <w:szCs w:val="32"/>
        </w:rPr>
        <w:t>年,按照市国资委要求，公司全面完成了年初制定的工作目标任务。在服务企业和职工、保持稳定、国有资产保值增值、安全生产等方面做了大量工作，也取得了较好成效，但仍然存在着一些问题和不足</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rPr>
        <w:t>一是各项管理制度落实上</w:t>
      </w:r>
      <w:r>
        <w:rPr>
          <w:rFonts w:hint="eastAsia" w:ascii="仿宋_GB2312" w:hAnsi="仿宋_GB2312" w:eastAsia="仿宋_GB2312" w:cs="仿宋_GB2312"/>
          <w:b w:val="0"/>
          <w:i w:val="0"/>
          <w:caps w:val="0"/>
          <w:color w:val="auto"/>
          <w:spacing w:val="0"/>
          <w:w w:val="100"/>
          <w:sz w:val="32"/>
          <w:szCs w:val="32"/>
          <w:lang w:val="en-US" w:eastAsia="zh-CN"/>
        </w:rPr>
        <w:t>做的不够</w:t>
      </w:r>
      <w:r>
        <w:rPr>
          <w:rFonts w:hint="eastAsia" w:ascii="仿宋_GB2312" w:hAnsi="仿宋_GB2312" w:eastAsia="仿宋_GB2312" w:cs="仿宋_GB2312"/>
          <w:b w:val="0"/>
          <w:i w:val="0"/>
          <w:caps w:val="0"/>
          <w:color w:val="auto"/>
          <w:spacing w:val="0"/>
          <w:w w:val="100"/>
          <w:sz w:val="32"/>
          <w:szCs w:val="32"/>
        </w:rPr>
        <w:t>；二是领导班子建设还需</w:t>
      </w:r>
      <w:r>
        <w:rPr>
          <w:rFonts w:hint="eastAsia" w:ascii="仿宋_GB2312" w:hAnsi="仿宋_GB2312" w:eastAsia="仿宋_GB2312" w:cs="仿宋_GB2312"/>
          <w:b w:val="0"/>
          <w:i w:val="0"/>
          <w:caps w:val="0"/>
          <w:color w:val="auto"/>
          <w:spacing w:val="0"/>
          <w:w w:val="100"/>
          <w:sz w:val="32"/>
          <w:szCs w:val="32"/>
          <w:lang w:val="en-US" w:eastAsia="zh-CN"/>
        </w:rPr>
        <w:t>进一步加强</w:t>
      </w:r>
      <w:r>
        <w:rPr>
          <w:rFonts w:hint="eastAsia" w:ascii="仿宋_GB2312" w:hAnsi="仿宋_GB2312" w:eastAsia="仿宋_GB2312" w:cs="仿宋_GB2312"/>
          <w:b w:val="0"/>
          <w:i w:val="0"/>
          <w:caps w:val="0"/>
          <w:color w:val="auto"/>
          <w:spacing w:val="0"/>
          <w:w w:val="100"/>
          <w:sz w:val="32"/>
          <w:szCs w:val="32"/>
        </w:rPr>
        <w:t>。我们将在今后的工作中高度重视这些问题，采取更加有效措施，切实加以解决，</w:t>
      </w:r>
      <w:r>
        <w:rPr>
          <w:rFonts w:hint="eastAsia" w:ascii="仿宋_GB2312" w:hAnsi="仿宋_GB2312" w:eastAsia="仿宋_GB2312" w:cs="仿宋_GB2312"/>
          <w:b w:val="0"/>
          <w:i w:val="0"/>
          <w:caps w:val="0"/>
          <w:color w:val="auto"/>
          <w:spacing w:val="0"/>
          <w:w w:val="100"/>
          <w:kern w:val="0"/>
          <w:sz w:val="32"/>
          <w:szCs w:val="32"/>
        </w:rPr>
        <w:t>让上级党委放心，让基层群众满意。</w:t>
      </w:r>
    </w:p>
    <w:p>
      <w:pPr>
        <w:keepNext w:val="0"/>
        <w:keepLines w:val="0"/>
        <w:pageBreakBefore w:val="0"/>
        <w:pBdr>
          <w:bottom w:val="single" w:color="FFFFFF" w:sz="4" w:space="31"/>
        </w:pBdr>
        <w:kinsoku/>
        <w:wordWrap/>
        <w:overflowPunct/>
        <w:topLinePunct w:val="0"/>
        <w:autoSpaceDE/>
        <w:autoSpaceDN/>
        <w:bidi w:val="0"/>
        <w:adjustRightInd/>
        <w:snapToGrid/>
        <w:spacing w:before="0" w:beforeAutospacing="0" w:after="0" w:afterAutospacing="0" w:line="560" w:lineRule="exact"/>
        <w:ind w:right="25" w:firstLine="2891" w:firstLineChars="900"/>
        <w:jc w:val="both"/>
        <w:textAlignment w:val="baseline"/>
        <w:rPr>
          <w:rFonts w:ascii="黑体" w:hAnsi="黑体" w:eastAsia="黑体"/>
          <w:b/>
          <w:i w:val="0"/>
          <w:caps w:val="0"/>
          <w:color w:val="auto"/>
          <w:spacing w:val="0"/>
          <w:w w:val="100"/>
          <w:sz w:val="32"/>
          <w:szCs w:val="32"/>
        </w:rPr>
      </w:pPr>
    </w:p>
    <w:p>
      <w:pPr>
        <w:keepNext w:val="0"/>
        <w:keepLines w:val="0"/>
        <w:pageBreakBefore w:val="0"/>
        <w:pBdr>
          <w:bottom w:val="single" w:color="FFFFFF" w:sz="4" w:space="31"/>
        </w:pBdr>
        <w:kinsoku/>
        <w:wordWrap/>
        <w:overflowPunct/>
        <w:topLinePunct w:val="0"/>
        <w:autoSpaceDE/>
        <w:autoSpaceDN/>
        <w:bidi w:val="0"/>
        <w:adjustRightInd/>
        <w:snapToGrid/>
        <w:spacing w:before="0" w:beforeAutospacing="0" w:after="0" w:afterAutospacing="0" w:line="560" w:lineRule="exact"/>
        <w:ind w:right="25"/>
        <w:jc w:val="both"/>
        <w:textAlignment w:val="baseline"/>
        <w:rPr>
          <w:rFonts w:hint="default"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984" w:right="1474" w:bottom="17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98708338"/>
                            <w:docPartObj>
                              <w:docPartGallery w:val="autotext"/>
                            </w:docPartObj>
                          </w:sdtPr>
                          <w:sdtContent>
                            <w:p>
                              <w:pPr>
                                <w:pStyle w:val="3"/>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398708338"/>
                      <w:docPartObj>
                        <w:docPartGallery w:val="autotext"/>
                      </w:docPartObj>
                    </w:sdtPr>
                    <w:sdtContent>
                      <w:p>
                        <w:pPr>
                          <w:pStyle w:val="3"/>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rPr>
        <w:rStyle w:val="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000000" w:sz="0" w:space="0"/>
      </w:pBdr>
      <w:rPr>
        <w:rStyle w:val="9"/>
      </w:rPr>
    </w:pPr>
  </w:p>
  <w:p>
    <w:pP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2YzNDI2YjcxMWMwNTQ5Y2ZkZjkzMTU1OTFiNmEifQ=="/>
  </w:docVars>
  <w:rsids>
    <w:rsidRoot w:val="6816214E"/>
    <w:rsid w:val="02A6100C"/>
    <w:rsid w:val="03E461C2"/>
    <w:rsid w:val="050C2C34"/>
    <w:rsid w:val="08F008BD"/>
    <w:rsid w:val="0A3B790C"/>
    <w:rsid w:val="0AA6086B"/>
    <w:rsid w:val="0C2029E4"/>
    <w:rsid w:val="0CCB28FA"/>
    <w:rsid w:val="0D5D2FC1"/>
    <w:rsid w:val="0DD755C7"/>
    <w:rsid w:val="0FC11BAC"/>
    <w:rsid w:val="10C13250"/>
    <w:rsid w:val="10C21814"/>
    <w:rsid w:val="115A31A2"/>
    <w:rsid w:val="14796894"/>
    <w:rsid w:val="18DE67DE"/>
    <w:rsid w:val="1B9C0088"/>
    <w:rsid w:val="215D68D0"/>
    <w:rsid w:val="22DF9C1A"/>
    <w:rsid w:val="26900ED2"/>
    <w:rsid w:val="29562AE5"/>
    <w:rsid w:val="29AA11B8"/>
    <w:rsid w:val="2A033573"/>
    <w:rsid w:val="2C1646FC"/>
    <w:rsid w:val="2E4870BD"/>
    <w:rsid w:val="2EDC5EB9"/>
    <w:rsid w:val="31064736"/>
    <w:rsid w:val="310B39D8"/>
    <w:rsid w:val="33792DA8"/>
    <w:rsid w:val="34FA0CC2"/>
    <w:rsid w:val="3B297AAD"/>
    <w:rsid w:val="3CA02840"/>
    <w:rsid w:val="3DF70938"/>
    <w:rsid w:val="3FAB0E23"/>
    <w:rsid w:val="41CD4FA2"/>
    <w:rsid w:val="43EF64D7"/>
    <w:rsid w:val="46BF799F"/>
    <w:rsid w:val="477E5030"/>
    <w:rsid w:val="47CA7281"/>
    <w:rsid w:val="4AD3483A"/>
    <w:rsid w:val="4B69790E"/>
    <w:rsid w:val="4D7F1054"/>
    <w:rsid w:val="4DC32C3F"/>
    <w:rsid w:val="51FE729E"/>
    <w:rsid w:val="53690DC9"/>
    <w:rsid w:val="53EF9F26"/>
    <w:rsid w:val="54825343"/>
    <w:rsid w:val="55D039AB"/>
    <w:rsid w:val="5B503057"/>
    <w:rsid w:val="5CB578BB"/>
    <w:rsid w:val="5EC42FBD"/>
    <w:rsid w:val="5F2539EE"/>
    <w:rsid w:val="5FBF454D"/>
    <w:rsid w:val="633E139F"/>
    <w:rsid w:val="67B3393D"/>
    <w:rsid w:val="6816214E"/>
    <w:rsid w:val="6A0E4AD8"/>
    <w:rsid w:val="6CE71CF3"/>
    <w:rsid w:val="6D776DE5"/>
    <w:rsid w:val="6FDBA2CB"/>
    <w:rsid w:val="71A401BA"/>
    <w:rsid w:val="71D16BD8"/>
    <w:rsid w:val="71F7998A"/>
    <w:rsid w:val="75721AB7"/>
    <w:rsid w:val="76EE10C3"/>
    <w:rsid w:val="76EE5946"/>
    <w:rsid w:val="7B6A6C5E"/>
    <w:rsid w:val="7C24563A"/>
    <w:rsid w:val="7CFA5DC5"/>
    <w:rsid w:val="7FA04F68"/>
    <w:rsid w:val="7FD45419"/>
    <w:rsid w:val="BB2B6634"/>
    <w:rsid w:val="FFDBE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qFormat/>
    <w:uiPriority w:val="0"/>
    <w:rPr>
      <w:rFonts w:eastAsia="楷体_GB2312"/>
      <w:b/>
      <w:iCs/>
      <w:sz w:val="36"/>
    </w:rPr>
  </w:style>
  <w:style w:type="character" w:customStyle="1" w:styleId="9">
    <w:name w:val="NormalCharacter"/>
    <w:semiHidden/>
    <w:qFormat/>
    <w:uiPriority w:val="0"/>
  </w:style>
  <w:style w:type="paragraph" w:styleId="10">
    <w:name w:val="List Paragraph"/>
    <w:basedOn w:val="1"/>
    <w:qFormat/>
    <w:uiPriority w:val="34"/>
    <w:pPr>
      <w:ind w:firstLine="420" w:firstLineChars="200"/>
    </w:pPr>
  </w:style>
  <w:style w:type="character" w:customStyle="1" w:styleId="11">
    <w:name w:val="fontsize161"/>
    <w:basedOn w:val="7"/>
    <w:qFormat/>
    <w:uiPriority w:val="0"/>
    <w:rPr>
      <w:rFonts w:hint="default" w:ascii="Verdana" w:hAnsi="Verdana" w:cs="Times New Roman"/>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5090</Words>
  <Characters>5290</Characters>
  <Lines>0</Lines>
  <Paragraphs>0</Paragraphs>
  <TotalTime>217</TotalTime>
  <ScaleCrop>false</ScaleCrop>
  <LinksUpToDate>false</LinksUpToDate>
  <CharactersWithSpaces>5348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2021-05-30T02:28:00Z</dcterms:created>
  <dc:creator>808</dc:creator>
  <cp:lastModifiedBy>administrator</cp:lastModifiedBy>
  <cp:lastPrinted>2023-11-15T18:42:00Z</cp:lastPrinted>
  <dcterms:modified xsi:type="dcterms:W3CDTF">2024-06-27T15:56:04Z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9ADBEF07E6C9490FBC4D9B8E2FAEC485_13</vt:lpwstr>
  </property>
</Properties>
</file>