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0"/>
          <w:szCs w:val="40"/>
          <w:lang w:val="en-US" w:eastAsia="zh-CN"/>
        </w:rPr>
      </w:pPr>
      <w:r>
        <w:rPr>
          <w:rFonts w:hint="eastAsia"/>
          <w:sz w:val="40"/>
          <w:szCs w:val="40"/>
          <w:lang w:val="en-US" w:eastAsia="zh-CN"/>
        </w:rPr>
        <w:t>秦皇岛市国有房地产开发有限公司</w:t>
      </w:r>
    </w:p>
    <w:p>
      <w:pPr>
        <w:jc w:val="center"/>
        <w:rPr>
          <w:rFonts w:hint="eastAsia"/>
          <w:sz w:val="40"/>
          <w:szCs w:val="40"/>
          <w:lang w:val="en-US" w:eastAsia="zh-CN"/>
        </w:rPr>
      </w:pPr>
      <w:r>
        <w:rPr>
          <w:rFonts w:hint="eastAsia"/>
          <w:sz w:val="40"/>
          <w:szCs w:val="40"/>
          <w:lang w:val="en-US" w:eastAsia="zh-CN"/>
        </w:rPr>
        <w:t>2022年度信息公开报告</w:t>
      </w:r>
    </w:p>
    <w:p>
      <w:pPr>
        <w:rPr>
          <w:rFonts w:hint="eastAsia"/>
          <w:lang w:val="en-US" w:eastAsia="zh-CN"/>
        </w:rPr>
      </w:pP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企业基本情况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秦皇岛市国有房地产开发有限公司，法定代表人刘志辉，注册资本5000万元，登记机关秦皇岛市市场监督管理局，注册地址正阳街36号。出资人为秦皇岛市人民政府国有资产监督管理委员会，出资比例100%。</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司经营范围为：房地产综合开发及基础设施配套建设；房屋销售；房屋维修；房屋租赁；工程项目管理及技术咨询服务；房地产经纪服务；房屋贷款咨询服务；房屋征收政策咨询，接受房屋征收部门委托从事房屋征收及补偿具体服务工作；建筑物拆除服务（不含爆破）；建筑垃圾清运服务；建筑工程机械设备租赁；园林绿化工程**(依法须经批准的项目，经相关部门批准后方可开展经营活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秦皇岛市国有房地产开发有限公司组建于1990年，前身是1985年成立的秦皇岛市房地产业管理局旧城改造办公室；1990年组建秦皇岛市房地产经营开发公司，为事业单位编制企业管理，由秦皇岛市住房和城乡建设局（原秦皇岛市房产管理局）管理；2000年5月按市编委的要求由事业单位转为全民所有制公司；2018年11月由秦皇岛市住房保障和房管管理局划转至秦皇岛市人民政府国有资产监督管理委员会；2019年12月由全民所有制企业变更为有限责任公司，更名秦皇岛市国有房地产开发有限公司。</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组织体系</w:t>
      </w:r>
    </w:p>
    <w:p>
      <w:pPr>
        <w:keepNext w:val="0"/>
        <w:keepLines w:val="0"/>
        <w:pageBreakBefore w:val="0"/>
        <w:widowControl w:val="0"/>
        <w:numPr>
          <w:ilvl w:val="0"/>
          <w:numId w:val="2"/>
        </w:numPr>
        <w:kinsoku/>
        <w:wordWrap/>
        <w:overflowPunct/>
        <w:topLinePunct w:val="0"/>
        <w:autoSpaceDE/>
        <w:autoSpaceDN/>
        <w:bidi w:val="0"/>
        <w:adjustRightInd/>
        <w:snapToGrid/>
        <w:ind w:leftChars="0" w:firstLine="642"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企业领导</w:t>
      </w:r>
    </w:p>
    <w:tbl>
      <w:tblPr>
        <w:tblStyle w:val="6"/>
        <w:tblpPr w:leftFromText="180" w:rightFromText="180" w:vertAnchor="text" w:horzAnchor="page" w:tblpX="1151" w:tblpY="49"/>
        <w:tblOverlap w:val="never"/>
        <w:tblW w:w="98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2"/>
        <w:gridCol w:w="3078"/>
        <w:gridCol w:w="5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542" w:type="dxa"/>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姓名</w:t>
            </w:r>
          </w:p>
        </w:tc>
        <w:tc>
          <w:tcPr>
            <w:tcW w:w="3078" w:type="dxa"/>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职务</w:t>
            </w:r>
          </w:p>
        </w:tc>
        <w:tc>
          <w:tcPr>
            <w:tcW w:w="5188" w:type="dxa"/>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分管部门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542" w:type="dxa"/>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刘志辉</w:t>
            </w:r>
          </w:p>
        </w:tc>
        <w:tc>
          <w:tcPr>
            <w:tcW w:w="3078" w:type="dxa"/>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总支书记、董事长、总经理</w:t>
            </w:r>
          </w:p>
        </w:tc>
        <w:tc>
          <w:tcPr>
            <w:tcW w:w="5188" w:type="dxa"/>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营销物管部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542" w:type="dxa"/>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吕占朝</w:t>
            </w:r>
          </w:p>
        </w:tc>
        <w:tc>
          <w:tcPr>
            <w:tcW w:w="3078" w:type="dxa"/>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总支委员、副总经理</w:t>
            </w:r>
          </w:p>
        </w:tc>
        <w:tc>
          <w:tcPr>
            <w:tcW w:w="5188" w:type="dxa"/>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工程部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542" w:type="dxa"/>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杜瑞丰</w:t>
            </w:r>
          </w:p>
        </w:tc>
        <w:tc>
          <w:tcPr>
            <w:tcW w:w="3078" w:type="dxa"/>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总支委员、副总经理</w:t>
            </w:r>
          </w:p>
        </w:tc>
        <w:tc>
          <w:tcPr>
            <w:tcW w:w="5188" w:type="dxa"/>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党建和行政综合部、市场拓展部、腾海物业公司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542" w:type="dxa"/>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张哲</w:t>
            </w:r>
          </w:p>
        </w:tc>
        <w:tc>
          <w:tcPr>
            <w:tcW w:w="3078" w:type="dxa"/>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总支委员、监事会主席</w:t>
            </w:r>
          </w:p>
        </w:tc>
        <w:tc>
          <w:tcPr>
            <w:tcW w:w="5188" w:type="dxa"/>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监事会、国开秦晟建材公司，协管营销物管部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542" w:type="dxa"/>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王卫东</w:t>
            </w:r>
          </w:p>
        </w:tc>
        <w:tc>
          <w:tcPr>
            <w:tcW w:w="3078" w:type="dxa"/>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副总经理</w:t>
            </w:r>
          </w:p>
        </w:tc>
        <w:tc>
          <w:tcPr>
            <w:tcW w:w="5188" w:type="dxa"/>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审计部、财务部、宇克运输公司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542" w:type="dxa"/>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李彬</w:t>
            </w:r>
          </w:p>
        </w:tc>
        <w:tc>
          <w:tcPr>
            <w:tcW w:w="3078" w:type="dxa"/>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副总经理</w:t>
            </w:r>
          </w:p>
        </w:tc>
        <w:tc>
          <w:tcPr>
            <w:tcW w:w="5188" w:type="dxa"/>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秦房融资公司</w:t>
            </w:r>
          </w:p>
        </w:tc>
      </w:tr>
    </w:tbl>
    <w:p>
      <w:pPr>
        <w:keepNext w:val="0"/>
        <w:keepLines w:val="0"/>
        <w:pageBreakBefore w:val="0"/>
        <w:widowControl w:val="0"/>
        <w:numPr>
          <w:ilvl w:val="0"/>
          <w:numId w:val="2"/>
        </w:numPr>
        <w:kinsoku/>
        <w:wordWrap/>
        <w:overflowPunct/>
        <w:topLinePunct w:val="0"/>
        <w:autoSpaceDE/>
        <w:autoSpaceDN/>
        <w:bidi w:val="0"/>
        <w:adjustRightInd/>
        <w:snapToGrid/>
        <w:ind w:leftChars="0" w:firstLine="642"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组织架构</w:t>
      </w:r>
    </w:p>
    <w:p>
      <w:pPr>
        <w:numPr>
          <w:ilvl w:val="0"/>
          <w:numId w:val="0"/>
        </w:numPr>
      </w:pPr>
    </w:p>
    <w:p>
      <w:pPr>
        <w:numPr>
          <w:ilvl w:val="0"/>
          <w:numId w:val="0"/>
        </w:numPr>
      </w:pPr>
      <w:r>
        <w:drawing>
          <wp:inline distT="0" distB="0" distL="114300" distR="114300">
            <wp:extent cx="5271770" cy="3408680"/>
            <wp:effectExtent l="0" t="0" r="1270" b="5080"/>
            <wp:docPr id="2"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true"/>
                    </pic:cNvPicPr>
                  </pic:nvPicPr>
                  <pic:blipFill>
                    <a:blip r:embed="rId4"/>
                    <a:stretch>
                      <a:fillRect/>
                    </a:stretch>
                  </pic:blipFill>
                  <pic:spPr>
                    <a:xfrm>
                      <a:off x="0" y="0"/>
                      <a:ext cx="5271770" cy="3408680"/>
                    </a:xfrm>
                    <a:prstGeom prst="rect">
                      <a:avLst/>
                    </a:prstGeom>
                    <a:noFill/>
                    <a:ln>
                      <a:noFill/>
                    </a:ln>
                  </pic:spPr>
                </pic:pic>
              </a:graphicData>
            </a:graphic>
          </wp:inline>
        </w:drawing>
      </w:r>
    </w:p>
    <w:p>
      <w:pPr>
        <w:numPr>
          <w:ilvl w:val="0"/>
          <w:numId w:val="0"/>
        </w:numPr>
      </w:pPr>
    </w:p>
    <w:p>
      <w:pPr>
        <w:keepNext w:val="0"/>
        <w:keepLines w:val="0"/>
        <w:pageBreakBefore w:val="0"/>
        <w:widowControl w:val="0"/>
        <w:numPr>
          <w:ilvl w:val="0"/>
          <w:numId w:val="2"/>
        </w:numPr>
        <w:kinsoku/>
        <w:wordWrap/>
        <w:overflowPunct/>
        <w:topLinePunct w:val="0"/>
        <w:autoSpaceDE/>
        <w:autoSpaceDN/>
        <w:bidi w:val="0"/>
        <w:adjustRightInd/>
        <w:snapToGrid/>
        <w:ind w:leftChars="0" w:firstLine="642"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部门设置</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党建和行政综合部：负责党务、行政、人力资源日常工作。组织党员培训等各项活动的开展；党员档案管理；入党积极分子培养考察；公司证书使用与管理；印章的保管、使用；公文整理归档；公司车辆使用与管理；固定资产管理；规章制度管理；工作计划与总结；安全生产；法律事务；信访反馈；职工教育培训；劳动合同管理；人事档案管理；专业技术人员的职称管理；职工考勤管理。</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财务部：负责日常财务核算、决算、管理；预决算及经营目标达成；财务稽核；资金管理；投资性项目财务可行性论证；税务管理；公积金管理；固定资产管理等。</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工程部：负责施工现场前期 “三通一平”；工程施工的质量、进度、安全生产、文明施工及扬尘治理、农民工工资支付管理；施工单位和建立的现场管理；技术交底；现场各类签证的审核；分项验收；房屋的交付验房；工程保修期的维修等。</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default" w:ascii="仿宋" w:hAnsi="仿宋" w:eastAsia="仿宋" w:cs="仿宋"/>
          <w:sz w:val="32"/>
          <w:szCs w:val="32"/>
          <w:lang w:val="en-US" w:eastAsia="zh-CN"/>
        </w:rPr>
        <w:t>营销物管部：负责市场调研；销售计划的制定和实施；预售许可证的办理；销售合同管理；客户档案管理；房屋交付、兑现；出租房管理；物业管理相关工作；公司建设小区项目的前期物业公司管理；物业管理和服务。</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default" w:ascii="仿宋" w:hAnsi="仿宋" w:eastAsia="仿宋" w:cs="仿宋"/>
          <w:sz w:val="32"/>
          <w:szCs w:val="32"/>
          <w:lang w:val="en-US" w:eastAsia="zh-CN"/>
        </w:rPr>
        <w:t>审计部：负责公司内部审计体系建设和完善；制定、执行年度内部审计计划；经营审计；项目概念性规划方案及经济测算分析；土地招拍挂；勘察、设计、施工、监理、单位招标；项目前期手续办理；审核变更、工程签证；项目工程结算及造价站备案；材料、设备价格信息、质量控制范围；材料、设备的采购流程及合同管理；材料、设备样品管理；供应商管理等。</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hint="default" w:ascii="仿宋" w:hAnsi="仿宋" w:eastAsia="仿宋" w:cs="仿宋"/>
          <w:sz w:val="32"/>
          <w:szCs w:val="32"/>
          <w:lang w:val="en-US" w:eastAsia="zh-CN"/>
        </w:rPr>
        <w:t>市场拓展部：负责全市土地交易信息档案管理；项目投资可行性论证；房地产市场调研；竞争对手分析；项目开发政策、法规收集；租赁型保障性住房的政策、信息的收集整理；租赁型保障性住房项目的开发主体投标；租赁型保障性住房项目的谋划等。</w:t>
      </w:r>
    </w:p>
    <w:p>
      <w:pPr>
        <w:pStyle w:val="8"/>
        <w:tabs>
          <w:tab w:val="left" w:pos="0"/>
        </w:tabs>
        <w:spacing w:line="560" w:lineRule="exact"/>
        <w:ind w:firstLine="640" w:firstLineChars="200"/>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三、经营管理</w:t>
      </w:r>
    </w:p>
    <w:p>
      <w:pPr>
        <w:pStyle w:val="8"/>
        <w:tabs>
          <w:tab w:val="left" w:pos="0"/>
        </w:tabs>
        <w:spacing w:line="560" w:lineRule="exact"/>
        <w:ind w:firstLine="642" w:firstLineChars="200"/>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（一）秦皇岛市国有房地产开发有限公司2022年工作总结</w:t>
      </w:r>
    </w:p>
    <w:p>
      <w:pPr>
        <w:keepNext w:val="0"/>
        <w:keepLines w:val="0"/>
        <w:pageBreakBefore w:val="0"/>
        <w:kinsoku/>
        <w:wordWrap/>
        <w:overflowPunct/>
        <w:topLinePunct w:val="0"/>
        <w:autoSpaceDE/>
        <w:autoSpaceDN/>
        <w:bidi w:val="0"/>
        <w:spacing w:line="600" w:lineRule="exact"/>
        <w:ind w:left="0" w:leftChars="0" w:firstLine="642"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1、</w:t>
      </w:r>
      <w:r>
        <w:rPr>
          <w:rFonts w:hint="eastAsia" w:ascii="仿宋" w:hAnsi="仿宋" w:eastAsia="仿宋" w:cs="仿宋"/>
          <w:b/>
          <w:bCs w:val="0"/>
          <w:sz w:val="32"/>
          <w:szCs w:val="32"/>
        </w:rPr>
        <w:t>经济指标</w:t>
      </w:r>
      <w:r>
        <w:rPr>
          <w:rFonts w:hint="eastAsia" w:ascii="仿宋" w:hAnsi="仿宋" w:eastAsia="仿宋" w:cs="仿宋"/>
          <w:b/>
          <w:bCs w:val="0"/>
          <w:sz w:val="32"/>
          <w:szCs w:val="32"/>
          <w:lang w:eastAsia="zh-CN"/>
        </w:rPr>
        <w:t>、</w:t>
      </w:r>
      <w:r>
        <w:rPr>
          <w:rFonts w:hint="eastAsia" w:ascii="仿宋" w:hAnsi="仿宋" w:eastAsia="仿宋" w:cs="仿宋"/>
          <w:b/>
          <w:bCs w:val="0"/>
          <w:sz w:val="32"/>
          <w:szCs w:val="32"/>
          <w:lang w:val="en-US" w:eastAsia="zh-CN"/>
        </w:rPr>
        <w:t>目标任务圆满完成</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2022年度经济增加值考核目标为231.43万元，实际完成目标2247.41万元；2022年度营业总收入考核目标为15340万元，实际完成目标39328.55万元；2022年度国有资本保值增值率考核目标为100%，实际完成目标154.44%；2022年度净利润考核目标为160万元，实际完成目标1944.19万元。</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2022年10月29日市土地储备中心与我公司签订收储合同，11月9日依据合同完成运输公司土地不动产权登记注销，12月完成拆除运输公司地块地上建筑物、附着物、清运建筑垃圾达到净地，经市土地储备中心相关部门验收合格。</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（2）秦开锦上项目1#-8#楼及地下车库施工总承包结算已完成变更洽商审核、清单工程量核对等工作，完成量75%。</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（3）完成半岛书香一期3#、4#楼工程施工总承包结算；完成二期商业12#、14#、15#楼施工总承包结算；完成10-11#楼施工总承包结算50%；二期商业地盘管、外幕墙等分项工程结算已完成。</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（4）完成安居东里一组团经济适用住房项目财务决算。</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秦房融资担保公司取得金融担保全牌照</w:t>
      </w:r>
      <w:r>
        <w:rPr>
          <w:rFonts w:hint="eastAsia" w:ascii="仿宋" w:hAnsi="仿宋" w:eastAsia="仿宋" w:cs="仿宋"/>
          <w:b w:val="0"/>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642" w:firstLineChars="200"/>
        <w:jc w:val="both"/>
        <w:textAlignment w:val="auto"/>
        <w:rPr>
          <w:rFonts w:hint="eastAsia" w:ascii="仿宋" w:hAnsi="仿宋" w:eastAsia="仿宋" w:cs="仿宋"/>
          <w:b/>
          <w:bCs w:val="0"/>
          <w:sz w:val="32"/>
          <w:szCs w:val="32"/>
        </w:rPr>
      </w:pPr>
      <w:r>
        <w:rPr>
          <w:rFonts w:hint="eastAsia" w:ascii="仿宋" w:hAnsi="仿宋" w:eastAsia="仿宋" w:cs="仿宋"/>
          <w:b/>
          <w:bCs w:val="0"/>
          <w:sz w:val="32"/>
          <w:szCs w:val="32"/>
          <w:lang w:val="en-US" w:eastAsia="zh-CN"/>
        </w:rPr>
        <w:t>2、</w:t>
      </w:r>
      <w:r>
        <w:rPr>
          <w:rFonts w:hint="eastAsia" w:ascii="仿宋" w:hAnsi="仿宋" w:eastAsia="仿宋" w:cs="仿宋"/>
          <w:b/>
          <w:bCs w:val="0"/>
          <w:sz w:val="32"/>
          <w:szCs w:val="32"/>
        </w:rPr>
        <w:t>深化国企改革，加强企业管理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公司高度认识国企改革三年行动的重大意义，以此契机推动企业高速发展</w:t>
      </w: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通过有效的组织落实，我公司国企改革三年行动的5大类25项改革重点工作目标均已完成，一是编制《前置研究讨论重大经营管理事项清单》，清单共涉及4大类49小项目等党总支前置讨论事项；二是引入独立董事两名，改组第二届董事会，有效提升董事会行权履职能力；三是加强薪酬分配制度及绩效管理，</w:t>
      </w:r>
      <w:r>
        <w:rPr>
          <w:rFonts w:hint="eastAsia" w:ascii="仿宋" w:hAnsi="仿宋" w:eastAsia="仿宋" w:cs="仿宋"/>
          <w:b w:val="0"/>
          <w:bCs/>
          <w:sz w:val="32"/>
          <w:szCs w:val="32"/>
        </w:rPr>
        <w:t>推行以岗定薪、岗变薪变、薪酬挂钩考核的现代化企业薪酬</w:t>
      </w:r>
      <w:r>
        <w:rPr>
          <w:rFonts w:hint="eastAsia" w:ascii="仿宋" w:hAnsi="仿宋" w:eastAsia="仿宋" w:cs="仿宋"/>
          <w:b w:val="0"/>
          <w:bCs/>
          <w:color w:val="333333"/>
          <w:kern w:val="0"/>
          <w:sz w:val="32"/>
          <w:szCs w:val="32"/>
          <w:lang w:eastAsia="zh-CN"/>
        </w:rPr>
        <w:t>；</w:t>
      </w:r>
      <w:r>
        <w:rPr>
          <w:rFonts w:hint="eastAsia" w:ascii="仿宋" w:hAnsi="仿宋" w:eastAsia="仿宋" w:cs="仿宋"/>
          <w:b w:val="0"/>
          <w:bCs/>
          <w:color w:val="333333"/>
          <w:kern w:val="0"/>
          <w:sz w:val="32"/>
          <w:szCs w:val="32"/>
          <w:lang w:val="en-US" w:eastAsia="zh-CN"/>
        </w:rPr>
        <w:t>四是</w:t>
      </w:r>
      <w:r>
        <w:rPr>
          <w:rFonts w:hint="eastAsia" w:ascii="仿宋" w:hAnsi="仿宋" w:eastAsia="仿宋" w:cs="仿宋"/>
          <w:b w:val="0"/>
          <w:bCs/>
          <w:sz w:val="32"/>
          <w:szCs w:val="32"/>
          <w:lang w:val="en-US" w:eastAsia="zh-CN"/>
        </w:rPr>
        <w:t>精简机构设置，调整后的内设机构为6个部门，精简6个，精简率50%；管理人员职数12人，精简1人，精简率8%；五是管理人员竞争上岗，推进能者上、庸者下的用人导向，以“公开选拔、竞争上岗”为主要的方式，组织竞聘活动，9名中层管理人员通过竞聘任职。</w:t>
      </w:r>
    </w:p>
    <w:p>
      <w:pPr>
        <w:keepNext w:val="0"/>
        <w:keepLines w:val="0"/>
        <w:pageBreakBefore w:val="0"/>
        <w:widowControl w:val="0"/>
        <w:numPr>
          <w:ilvl w:val="0"/>
          <w:numId w:val="0"/>
        </w:numPr>
        <w:kinsoku/>
        <w:wordWrap/>
        <w:overflowPunct/>
        <w:topLinePunct w:val="0"/>
        <w:autoSpaceDE/>
        <w:autoSpaceDN/>
        <w:bidi w:val="0"/>
        <w:spacing w:line="600" w:lineRule="exact"/>
        <w:ind w:leftChars="0" w:firstLine="642" w:firstLineChars="200"/>
        <w:jc w:val="both"/>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3、落实监管责任，抓好管好监管企业</w:t>
      </w:r>
    </w:p>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根据市国资委对参股、控股子公司管理的相关规定，我公司着力落实监管责任，加强业务指导，带好管好企业，确保国有资产保值增值。</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600" w:lineRule="exact"/>
        <w:ind w:leftChars="200"/>
        <w:jc w:val="both"/>
        <w:textAlignment w:val="auto"/>
        <w:rPr>
          <w:rFonts w:hint="eastAsia" w:ascii="仿宋" w:hAnsi="仿宋" w:eastAsia="仿宋" w:cs="仿宋"/>
          <w:color w:val="000000"/>
          <w:kern w:val="2"/>
          <w:sz w:val="32"/>
          <w:szCs w:val="32"/>
          <w:lang w:val="en-US" w:eastAsia="zh-CN"/>
        </w:rPr>
      </w:pPr>
      <w:r>
        <w:rPr>
          <w:rFonts w:hint="eastAsia" w:ascii="仿宋" w:hAnsi="仿宋" w:eastAsia="仿宋" w:cs="仿宋"/>
          <w:color w:val="000000"/>
          <w:kern w:val="2"/>
          <w:sz w:val="32"/>
          <w:szCs w:val="32"/>
          <w:lang w:val="en-US" w:eastAsia="zh-CN"/>
        </w:rPr>
        <w:t>（1）秦房融资担保公司</w:t>
      </w:r>
    </w:p>
    <w:p>
      <w:pPr>
        <w:keepNext w:val="0"/>
        <w:keepLines w:val="0"/>
        <w:pageBreakBefore w:val="0"/>
        <w:widowControl w:val="0"/>
        <w:kinsoku/>
        <w:wordWrap/>
        <w:overflowPunct/>
        <w:topLinePunct w:val="0"/>
        <w:autoSpaceDE/>
        <w:autoSpaceDN/>
        <w:bidi w:val="0"/>
        <w:adjustRightInd w:val="0"/>
        <w:snapToGrid w:val="0"/>
        <w:spacing w:after="0" w:line="600" w:lineRule="exact"/>
        <w:ind w:leftChars="0" w:firstLine="640" w:firstLineChars="200"/>
        <w:jc w:val="both"/>
        <w:textAlignment w:val="auto"/>
        <w:rPr>
          <w:rFonts w:hint="eastAsia" w:ascii="仿宋" w:hAnsi="仿宋" w:eastAsia="仿宋" w:cs="仿宋"/>
          <w:color w:val="000000"/>
          <w:kern w:val="2"/>
          <w:sz w:val="32"/>
          <w:szCs w:val="32"/>
          <w:lang w:val="en-US" w:eastAsia="zh-CN"/>
        </w:rPr>
      </w:pPr>
      <w:r>
        <w:rPr>
          <w:rFonts w:hint="eastAsia" w:ascii="仿宋" w:hAnsi="仿宋" w:eastAsia="仿宋" w:cs="仿宋"/>
          <w:color w:val="000000"/>
          <w:kern w:val="2"/>
          <w:sz w:val="32"/>
          <w:szCs w:val="32"/>
          <w:lang w:val="en-US" w:eastAsia="zh-CN"/>
        </w:rPr>
        <w:t>秦房公司全年办理房产手续代办业务6439件。实现收入203.4万元。其中，代办服务费收入33.8万元，利息收入169.6万元，实现净利润约40余万元。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600" w:lineRule="exact"/>
        <w:ind w:leftChars="200"/>
        <w:jc w:val="both"/>
        <w:textAlignment w:val="auto"/>
        <w:rPr>
          <w:rFonts w:hint="eastAsia" w:ascii="仿宋" w:hAnsi="仿宋" w:eastAsia="仿宋" w:cs="仿宋"/>
          <w:color w:val="000000"/>
          <w:kern w:val="2"/>
          <w:sz w:val="32"/>
          <w:szCs w:val="32"/>
          <w:lang w:val="en-US" w:eastAsia="zh-CN"/>
        </w:rPr>
      </w:pPr>
      <w:r>
        <w:rPr>
          <w:rFonts w:hint="eastAsia" w:ascii="仿宋" w:hAnsi="仿宋" w:eastAsia="仿宋" w:cs="仿宋"/>
          <w:color w:val="000000"/>
          <w:kern w:val="2"/>
          <w:sz w:val="32"/>
          <w:szCs w:val="32"/>
          <w:lang w:val="en-US" w:eastAsia="zh-CN"/>
        </w:rPr>
        <w:t>（2）市种鸡场</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eastAsia" w:ascii="仿宋" w:hAnsi="仿宋" w:eastAsia="仿宋" w:cs="仿宋"/>
          <w:color w:val="000000"/>
          <w:kern w:val="2"/>
          <w:sz w:val="32"/>
          <w:szCs w:val="32"/>
          <w:lang w:val="en-US" w:eastAsia="zh-CN"/>
        </w:rPr>
      </w:pPr>
      <w:r>
        <w:rPr>
          <w:rFonts w:hint="eastAsia" w:ascii="仿宋" w:hAnsi="仿宋" w:eastAsia="仿宋" w:cs="仿宋"/>
          <w:color w:val="000000"/>
          <w:kern w:val="2"/>
          <w:sz w:val="32"/>
          <w:szCs w:val="32"/>
          <w:lang w:val="en-US" w:eastAsia="zh-CN"/>
        </w:rPr>
        <w:t>根据《四方移交协议》及委托监管的要求，我公司已实际管理，并完成了土地房产测绘、租户信息登记等管理工作。我公司成立专门安全生产小组，多次咨询主管部门，提升工业园区安全生产管理能力，把种鸡场场区内的安全生产作为重点工作来抓。</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600" w:lineRule="exact"/>
        <w:ind w:leftChars="200"/>
        <w:jc w:val="both"/>
        <w:textAlignment w:val="auto"/>
        <w:rPr>
          <w:rFonts w:hint="eastAsia" w:ascii="仿宋" w:hAnsi="仿宋" w:eastAsia="仿宋" w:cs="仿宋"/>
          <w:color w:val="000000"/>
          <w:kern w:val="2"/>
          <w:sz w:val="32"/>
          <w:szCs w:val="32"/>
          <w:lang w:val="en-US" w:eastAsia="zh-CN"/>
        </w:rPr>
      </w:pPr>
      <w:r>
        <w:rPr>
          <w:rFonts w:hint="eastAsia" w:ascii="仿宋" w:hAnsi="仿宋" w:eastAsia="仿宋" w:cs="仿宋"/>
          <w:color w:val="000000"/>
          <w:kern w:val="2"/>
          <w:sz w:val="32"/>
          <w:szCs w:val="32"/>
          <w:lang w:val="en-US" w:eastAsia="zh-CN"/>
        </w:rPr>
        <w:t>（3）残联3家企业</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eastAsia" w:ascii="仿宋" w:hAnsi="仿宋" w:eastAsia="仿宋" w:cs="仿宋"/>
          <w:color w:val="000000"/>
          <w:kern w:val="2"/>
          <w:sz w:val="32"/>
          <w:szCs w:val="32"/>
          <w:lang w:val="en-US" w:eastAsia="zh-CN"/>
        </w:rPr>
      </w:pPr>
      <w:r>
        <w:rPr>
          <w:rFonts w:hint="eastAsia" w:ascii="仿宋" w:hAnsi="仿宋" w:eastAsia="仿宋" w:cs="仿宋"/>
          <w:color w:val="000000"/>
          <w:kern w:val="2"/>
          <w:sz w:val="32"/>
          <w:szCs w:val="32"/>
          <w:lang w:val="en-US" w:eastAsia="zh-CN"/>
        </w:rPr>
        <w:t>根据市国资委要求，我公司分别于2022年1月、8月完成企业的财务移交和企业整体移交工作，并完成残联三家企业的土地房屋测绘、出租评估等工作。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600" w:lineRule="exact"/>
        <w:ind w:leftChars="200"/>
        <w:jc w:val="both"/>
        <w:textAlignment w:val="auto"/>
        <w:rPr>
          <w:rFonts w:hint="eastAsia" w:ascii="仿宋" w:hAnsi="仿宋" w:eastAsia="仿宋" w:cs="仿宋"/>
          <w:color w:val="000000"/>
          <w:kern w:val="2"/>
          <w:sz w:val="32"/>
          <w:szCs w:val="32"/>
          <w:lang w:val="en-US" w:eastAsia="zh-CN"/>
        </w:rPr>
      </w:pPr>
      <w:r>
        <w:rPr>
          <w:rFonts w:hint="eastAsia" w:ascii="仿宋" w:hAnsi="仿宋" w:eastAsia="仿宋" w:cs="仿宋"/>
          <w:color w:val="000000"/>
          <w:kern w:val="2"/>
          <w:sz w:val="32"/>
          <w:szCs w:val="32"/>
          <w:lang w:val="en-US" w:eastAsia="zh-CN"/>
        </w:rPr>
        <w:t>（4）安邦房地产公司</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eastAsia" w:ascii="仿宋" w:hAnsi="仿宋" w:eastAsia="仿宋" w:cs="仿宋"/>
          <w:color w:val="000000"/>
          <w:kern w:val="2"/>
          <w:sz w:val="32"/>
          <w:szCs w:val="32"/>
          <w:lang w:val="en-US" w:eastAsia="zh-CN"/>
        </w:rPr>
      </w:pPr>
      <w:r>
        <w:rPr>
          <w:rFonts w:hint="eastAsia" w:ascii="仿宋" w:hAnsi="仿宋" w:eastAsia="仿宋" w:cs="仿宋"/>
          <w:color w:val="000000"/>
          <w:kern w:val="2"/>
          <w:sz w:val="32"/>
          <w:szCs w:val="32"/>
          <w:lang w:val="en-US" w:eastAsia="zh-CN"/>
        </w:rPr>
        <w:t>根据市政府文件精神及市国资委工作部署，我公司配合经责审计、清产核资审计等相关工作。</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642" w:firstLineChars="200"/>
        <w:jc w:val="both"/>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4、强化国企社会责任，助力全市经济稳定</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b w:val="0"/>
          <w:bCs/>
          <w:sz w:val="32"/>
          <w:szCs w:val="32"/>
          <w:lang w:val="en-US" w:eastAsia="zh-CN"/>
        </w:rPr>
        <w:t>充分展现国企责任担当，认真落实市国资委《关于助力稳定全市经济运行阶段性减免房屋租金工作的通知》文件要求，帮扶服务业小微企业和个体工商户缓解房屋租金压力，采取电话联系和上门贴通知相结合的方式通知符合减免优惠条件的租户35户，经审核符合租金减免条件的租户共23户，实际减免租金150220元。</w:t>
      </w:r>
    </w:p>
    <w:p>
      <w:pPr>
        <w:numPr>
          <w:ilvl w:val="0"/>
          <w:numId w:val="3"/>
        </w:numPr>
        <w:ind w:firstLine="642"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财务状况</w:t>
      </w:r>
    </w:p>
    <w:p>
      <w:pPr>
        <w:numPr>
          <w:ilvl w:val="0"/>
          <w:numId w:val="0"/>
        </w:numPr>
        <w:ind w:left="0" w:leftChars="0" w:firstLine="640" w:firstLineChars="200"/>
        <w:rPr>
          <w:rFonts w:hint="eastAsia"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t>2022年底资产总量7.96亿元，负债总量8.37亿元，净资产-0.41亿元。</w:t>
      </w:r>
    </w:p>
    <w:p>
      <w:pPr>
        <w:numPr>
          <w:ilvl w:val="0"/>
          <w:numId w:val="0"/>
        </w:numPr>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四、薪酬待遇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 w:hAnsi="仿宋" w:eastAsia="仿宋" w:cs="华文仿宋"/>
          <w:sz w:val="32"/>
          <w:szCs w:val="32"/>
        </w:rPr>
      </w:pPr>
      <w:r>
        <w:rPr>
          <w:rFonts w:hint="eastAsia" w:ascii="仿宋" w:hAnsi="仿宋" w:eastAsia="仿宋" w:cs="华文仿宋"/>
          <w:sz w:val="32"/>
          <w:szCs w:val="32"/>
        </w:rPr>
        <w:t>2022年企业负责人6人，共计138.43万元。其中，薪酬127.21万元（基薪63.04万元，绩效64.17万元），履职待遇3.96万元，业务支出7.26万元。（其中含补2021年工资23.38万元）。</w:t>
      </w:r>
    </w:p>
    <w:tbl>
      <w:tblPr>
        <w:tblStyle w:val="5"/>
        <w:tblpPr w:leftFromText="180" w:rightFromText="180" w:vertAnchor="text" w:horzAnchor="page" w:tblpX="1952" w:tblpY="784"/>
        <w:tblOverlap w:val="never"/>
        <w:tblW w:w="83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92"/>
        <w:gridCol w:w="1822"/>
        <w:gridCol w:w="1822"/>
        <w:gridCol w:w="18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2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负责人姓名</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年薪合计</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基本年薪</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绩效年薪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1"/>
                <w:sz w:val="24"/>
                <w:szCs w:val="24"/>
                <w:lang w:val="en-US" w:eastAsia="zh-CN" w:bidi="ar"/>
              </w:rPr>
              <w:t>刘志辉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1"/>
                <w:sz w:val="24"/>
                <w:szCs w:val="24"/>
                <w:lang w:val="en-US" w:eastAsia="zh-CN" w:bidi="ar"/>
              </w:rPr>
              <w:t>贾立斌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1"/>
                <w:sz w:val="24"/>
                <w:szCs w:val="24"/>
                <w:lang w:val="en-US" w:eastAsia="zh-CN" w:bidi="ar"/>
              </w:rPr>
              <w:t>吕占朝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1"/>
                <w:sz w:val="24"/>
                <w:szCs w:val="24"/>
                <w:lang w:val="en-US" w:eastAsia="zh-CN" w:bidi="ar"/>
              </w:rPr>
              <w:t>杜瑞丰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1"/>
                <w:sz w:val="24"/>
                <w:szCs w:val="24"/>
                <w:lang w:val="en-US" w:eastAsia="zh-CN" w:bidi="ar"/>
              </w:rPr>
              <w:t>张哲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1"/>
                <w:sz w:val="24"/>
                <w:szCs w:val="24"/>
                <w:lang w:val="en-US" w:eastAsia="zh-CN" w:bidi="ar"/>
              </w:rPr>
              <w:t>王卫东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11.03</w:t>
            </w:r>
          </w:p>
        </w:tc>
      </w:tr>
    </w:tbl>
    <w:p>
      <w:pPr>
        <w:pStyle w:val="2"/>
        <w:rPr>
          <w:rFonts w:hint="eastAsia"/>
        </w:rPr>
      </w:pPr>
    </w:p>
    <w:p>
      <w:pPr>
        <w:pStyle w:val="2"/>
        <w:rPr>
          <w:rFonts w:hint="eastAsia"/>
        </w:rPr>
      </w:pPr>
    </w:p>
    <w:p>
      <w:pPr>
        <w:numPr>
          <w:ilvl w:val="0"/>
          <w:numId w:val="4"/>
        </w:numPr>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重要人事变动</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吕占朝、杜瑞丰不再担任董事职务。</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新任外部董事吴棋、张海宁、田占军。</w:t>
      </w:r>
    </w:p>
    <w:p>
      <w:pPr>
        <w:tabs>
          <w:tab w:val="left" w:pos="0"/>
        </w:tabs>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六、企业重大事项</w:t>
      </w:r>
    </w:p>
    <w:p>
      <w:pPr>
        <w:tabs>
          <w:tab w:val="left" w:pos="0"/>
        </w:tabs>
        <w:ind w:left="0"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无</w:t>
      </w:r>
    </w:p>
    <w:p>
      <w:pPr>
        <w:tabs>
          <w:tab w:val="left" w:pos="0"/>
        </w:tabs>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七、员工招聘</w:t>
      </w:r>
    </w:p>
    <w:p>
      <w:pPr>
        <w:tabs>
          <w:tab w:val="left" w:pos="0"/>
        </w:tabs>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tabs>
          <w:tab w:val="left" w:pos="0"/>
        </w:tabs>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八、社会责任</w:t>
      </w:r>
    </w:p>
    <w:p>
      <w:pPr>
        <w:tabs>
          <w:tab w:val="left" w:pos="0"/>
        </w:tabs>
        <w:ind w:left="0"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474868"/>
    <w:multiLevelType w:val="singleLevel"/>
    <w:tmpl w:val="84474868"/>
    <w:lvl w:ilvl="0" w:tentative="0">
      <w:start w:val="1"/>
      <w:numFmt w:val="chineseCounting"/>
      <w:suff w:val="nothing"/>
      <w:lvlText w:val="%1、"/>
      <w:lvlJc w:val="left"/>
      <w:rPr>
        <w:rFonts w:hint="eastAsia"/>
      </w:rPr>
    </w:lvl>
  </w:abstractNum>
  <w:abstractNum w:abstractNumId="1">
    <w:nsid w:val="87D62A67"/>
    <w:multiLevelType w:val="singleLevel"/>
    <w:tmpl w:val="87D62A67"/>
    <w:lvl w:ilvl="0" w:tentative="0">
      <w:start w:val="5"/>
      <w:numFmt w:val="chineseCounting"/>
      <w:suff w:val="nothing"/>
      <w:lvlText w:val="%1、"/>
      <w:lvlJc w:val="left"/>
      <w:rPr>
        <w:rFonts w:hint="eastAsia"/>
      </w:rPr>
    </w:lvl>
  </w:abstractNum>
  <w:abstractNum w:abstractNumId="2">
    <w:nsid w:val="4C0D7B2C"/>
    <w:multiLevelType w:val="singleLevel"/>
    <w:tmpl w:val="4C0D7B2C"/>
    <w:lvl w:ilvl="0" w:tentative="0">
      <w:start w:val="2"/>
      <w:numFmt w:val="chineseCounting"/>
      <w:suff w:val="nothing"/>
      <w:lvlText w:val="（%1）"/>
      <w:lvlJc w:val="left"/>
      <w:rPr>
        <w:rFonts w:hint="eastAsia"/>
      </w:rPr>
    </w:lvl>
  </w:abstractNum>
  <w:abstractNum w:abstractNumId="3">
    <w:nsid w:val="52E60090"/>
    <w:multiLevelType w:val="singleLevel"/>
    <w:tmpl w:val="52E60090"/>
    <w:lvl w:ilvl="0" w:tentative="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3Y2JmOGUwM2VlOWVhZmU3NzlmY2I1MDlhOTZmNDcifQ=="/>
  </w:docVars>
  <w:rsids>
    <w:rsidRoot w:val="110F77AF"/>
    <w:rsid w:val="06937C03"/>
    <w:rsid w:val="07434D1A"/>
    <w:rsid w:val="0AA40DED"/>
    <w:rsid w:val="110F77AF"/>
    <w:rsid w:val="15DB1268"/>
    <w:rsid w:val="1E8D1C57"/>
    <w:rsid w:val="20902F07"/>
    <w:rsid w:val="2AFC2ED9"/>
    <w:rsid w:val="3F3FE343"/>
    <w:rsid w:val="42A71403"/>
    <w:rsid w:val="46676BB6"/>
    <w:rsid w:val="4F494D2B"/>
    <w:rsid w:val="53272DBD"/>
    <w:rsid w:val="57FD73B6"/>
    <w:rsid w:val="694F7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99"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styleId="3">
    <w:name w:val="index 7"/>
    <w:basedOn w:val="1"/>
    <w:next w:val="1"/>
    <w:semiHidden/>
    <w:qFormat/>
    <w:uiPriority w:val="99"/>
    <w:pPr>
      <w:ind w:left="2520"/>
    </w:p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yiv1570388670msonormal"/>
    <w:basedOn w:val="1"/>
    <w:qFormat/>
    <w:uiPriority w:val="0"/>
    <w:pPr>
      <w:widowControl/>
      <w:jc w:val="left"/>
    </w:pPr>
    <w:rPr>
      <w:rFonts w:ascii="宋体" w:hAnsi="宋体" w:cs="宋体"/>
      <w:kern w:val="0"/>
      <w:sz w:val="24"/>
    </w:rPr>
  </w:style>
  <w:style w:type="character" w:customStyle="1" w:styleId="9">
    <w:name w:val="font31"/>
    <w:basedOn w:val="7"/>
    <w:qFormat/>
    <w:uiPriority w:val="0"/>
    <w:rPr>
      <w:rFonts w:hint="eastAsia" w:ascii="宋体" w:hAnsi="宋体" w:eastAsia="宋体" w:cs="宋体"/>
      <w:color w:val="000000"/>
      <w:sz w:val="22"/>
      <w:szCs w:val="22"/>
      <w:u w:val="none"/>
    </w:rPr>
  </w:style>
  <w:style w:type="character" w:customStyle="1" w:styleId="10">
    <w:name w:val="font11"/>
    <w:basedOn w:val="7"/>
    <w:qFormat/>
    <w:uiPriority w:val="0"/>
    <w:rPr>
      <w:rFonts w:hint="eastAsia" w:ascii="宋体" w:hAnsi="宋体" w:eastAsia="宋体" w:cs="宋体"/>
      <w:b/>
      <w:bCs/>
      <w:color w:val="000000"/>
      <w:sz w:val="20"/>
      <w:szCs w:val="20"/>
      <w:u w:val="none"/>
    </w:rPr>
  </w:style>
  <w:style w:type="character" w:customStyle="1" w:styleId="11">
    <w:name w:val="font2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3953</Words>
  <Characters>4003</Characters>
  <Lines>0</Lines>
  <Paragraphs>0</Paragraphs>
  <TotalTime>0</TotalTime>
  <ScaleCrop>false</ScaleCrop>
  <LinksUpToDate>false</LinksUpToDate>
  <CharactersWithSpaces>4006</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2022-05-09T10:58:00Z</dcterms:created>
  <dc:creator>坐禅不参禅</dc:creator>
  <cp:lastModifiedBy>administrator</cp:lastModifiedBy>
  <dcterms:modified xsi:type="dcterms:W3CDTF">2024-06-27T15:25:45Z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EA14B59CA305411DB05A4779987F8E4A_13</vt:lpwstr>
  </property>
</Properties>
</file>