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right="0" w:rightChars="0"/>
        <w:jc w:val="right"/>
        <w:textAlignment w:val="auto"/>
        <w:outlineLvl w:val="9"/>
        <w:rPr>
          <w:rFonts w:hint="eastAsia" w:asciiTheme="minorEastAsia" w:hAnsiTheme="minorEastAsia" w:eastAsiaTheme="minorEastAsia" w:cstheme="minorEastAsia"/>
          <w:sz w:val="32"/>
          <w:szCs w:val="32"/>
          <w:lang w:eastAsia="zh-CN"/>
        </w:rPr>
      </w:pPr>
      <w:bookmarkStart w:id="0" w:name="_GoBack"/>
      <w:bookmarkEnd w:id="0"/>
    </w:p>
    <w:p>
      <w:pPr>
        <w:widowControl/>
        <w:snapToGrid w:val="0"/>
        <w:spacing w:line="560" w:lineRule="exact"/>
        <w:jc w:val="left"/>
        <w:rPr>
          <w:rFonts w:hint="eastAsia" w:asciiTheme="minorEastAsia" w:hAnsiTheme="minorEastAsia" w:eastAsiaTheme="minorEastAsia" w:cstheme="minorEastAsia"/>
          <w:szCs w:val="32"/>
          <w:lang w:eastAsia="zh-CN"/>
        </w:rPr>
      </w:pPr>
      <w:r>
        <w:rPr>
          <w:rFonts w:hint="eastAsia" w:asciiTheme="minorEastAsia" w:hAnsiTheme="minorEastAsia" w:eastAsiaTheme="minorEastAsia" w:cstheme="minorEastAsia"/>
          <w:szCs w:val="32"/>
        </w:rPr>
        <w:t>附件</w:t>
      </w:r>
      <w:r>
        <w:rPr>
          <w:rFonts w:hint="eastAsia" w:asciiTheme="minorEastAsia" w:hAnsiTheme="minorEastAsia" w:eastAsiaTheme="minorEastAsia" w:cstheme="minorEastAsia"/>
          <w:szCs w:val="32"/>
          <w:lang w:val="en-US" w:eastAsia="zh-CN"/>
        </w:rPr>
        <w:t>1</w:t>
      </w:r>
    </w:p>
    <w:p>
      <w:pPr>
        <w:spacing w:line="56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农村危房改造补助资金绩效目标表</w:t>
      </w:r>
    </w:p>
    <w:p>
      <w:pPr>
        <w:spacing w:line="560" w:lineRule="exact"/>
        <w:jc w:val="center"/>
        <w:rPr>
          <w:rFonts w:hint="eastAsia" w:asciiTheme="minorEastAsia" w:hAnsiTheme="minorEastAsia" w:eastAsiaTheme="minorEastAsia" w:cstheme="minorEastAsia"/>
          <w:szCs w:val="32"/>
        </w:rPr>
      </w:pPr>
      <w:r>
        <w:rPr>
          <w:rFonts w:hint="eastAsia" w:asciiTheme="minorEastAsia" w:hAnsiTheme="minorEastAsia" w:eastAsiaTheme="minorEastAsia" w:cstheme="minorEastAsia"/>
          <w:szCs w:val="32"/>
        </w:rPr>
        <w:t>（2019年）</w:t>
      </w:r>
    </w:p>
    <w:tbl>
      <w:tblPr>
        <w:tblStyle w:val="2"/>
        <w:tblW w:w="9292" w:type="dxa"/>
        <w:jc w:val="center"/>
        <w:tblInd w:w="0" w:type="dxa"/>
        <w:tblLayout w:type="fixed"/>
        <w:tblCellMar>
          <w:top w:w="15" w:type="dxa"/>
          <w:left w:w="15" w:type="dxa"/>
          <w:bottom w:w="15" w:type="dxa"/>
          <w:right w:w="15" w:type="dxa"/>
        </w:tblCellMar>
      </w:tblPr>
      <w:tblGrid>
        <w:gridCol w:w="1370"/>
        <w:gridCol w:w="1187"/>
        <w:gridCol w:w="1950"/>
        <w:gridCol w:w="53"/>
        <w:gridCol w:w="2115"/>
        <w:gridCol w:w="832"/>
        <w:gridCol w:w="1785"/>
      </w:tblGrid>
      <w:tr>
        <w:tblPrEx>
          <w:tblLayout w:type="fixed"/>
          <w:tblCellMar>
            <w:top w:w="15" w:type="dxa"/>
            <w:left w:w="15" w:type="dxa"/>
            <w:bottom w:w="15" w:type="dxa"/>
            <w:right w:w="15" w:type="dxa"/>
          </w:tblCellMar>
        </w:tblPrEx>
        <w:trPr>
          <w:trHeight w:val="425" w:hRule="atLeast"/>
          <w:jc w:val="center"/>
        </w:trPr>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专项名称</w:t>
            </w:r>
          </w:p>
        </w:tc>
        <w:tc>
          <w:tcPr>
            <w:tcW w:w="79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农村危房改造补助资金</w:t>
            </w:r>
          </w:p>
        </w:tc>
      </w:tr>
      <w:tr>
        <w:tblPrEx>
          <w:tblLayout w:type="fixed"/>
          <w:tblCellMar>
            <w:top w:w="15" w:type="dxa"/>
            <w:left w:w="15" w:type="dxa"/>
            <w:bottom w:w="15" w:type="dxa"/>
            <w:right w:w="15" w:type="dxa"/>
          </w:tblCellMar>
        </w:tblPrEx>
        <w:trPr>
          <w:trHeight w:val="425" w:hRule="atLeast"/>
          <w:jc w:val="center"/>
        </w:trPr>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省主管部门</w:t>
            </w:r>
          </w:p>
        </w:tc>
        <w:tc>
          <w:tcPr>
            <w:tcW w:w="79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省住房城乡建设厅</w:t>
            </w:r>
          </w:p>
        </w:tc>
      </w:tr>
      <w:tr>
        <w:tblPrEx>
          <w:tblLayout w:type="fixed"/>
          <w:tblCellMar>
            <w:top w:w="15" w:type="dxa"/>
            <w:left w:w="15" w:type="dxa"/>
            <w:bottom w:w="15" w:type="dxa"/>
            <w:right w:w="15" w:type="dxa"/>
          </w:tblCellMar>
        </w:tblPrEx>
        <w:trPr>
          <w:trHeight w:val="425" w:hRule="atLeast"/>
          <w:jc w:val="center"/>
        </w:trPr>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市级财政部门</w:t>
            </w:r>
          </w:p>
        </w:tc>
        <w:tc>
          <w:tcPr>
            <w:tcW w:w="31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各市（定州、辛集市）财政局</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市级主管部门</w:t>
            </w:r>
          </w:p>
        </w:tc>
        <w:tc>
          <w:tcPr>
            <w:tcW w:w="26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各市（定州、辛集市）住房城乡建设局（建设局）</w:t>
            </w:r>
          </w:p>
        </w:tc>
      </w:tr>
      <w:tr>
        <w:tblPrEx>
          <w:tblLayout w:type="fixed"/>
          <w:tblCellMar>
            <w:top w:w="15" w:type="dxa"/>
            <w:left w:w="15" w:type="dxa"/>
            <w:bottom w:w="15" w:type="dxa"/>
            <w:right w:w="15" w:type="dxa"/>
          </w:tblCellMar>
        </w:tblPrEx>
        <w:trPr>
          <w:trHeight w:val="425" w:hRule="atLeast"/>
          <w:jc w:val="center"/>
        </w:trPr>
        <w:tc>
          <w:tcPr>
            <w:tcW w:w="137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总体目标</w:t>
            </w:r>
          </w:p>
        </w:tc>
        <w:tc>
          <w:tcPr>
            <w:tcW w:w="792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目标1：帮助住房最危险、经济最贫困农户解决最基本的安全住房，补助对象包括居住在危房中的建档立卡贫困户、低保户、分散供养特困人员、贫困残疾人家庭以及其他农户。</w:t>
            </w:r>
          </w:p>
          <w:p>
            <w:pPr>
              <w:widowControl/>
              <w:spacing w:line="320" w:lineRule="exact"/>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目标2：完成中央、省安排的2019-2020年度农村危房改造任务。</w:t>
            </w:r>
          </w:p>
        </w:tc>
      </w:tr>
      <w:tr>
        <w:tblPrEx>
          <w:tblLayout w:type="fixed"/>
          <w:tblCellMar>
            <w:top w:w="15" w:type="dxa"/>
            <w:left w:w="15" w:type="dxa"/>
            <w:bottom w:w="15" w:type="dxa"/>
            <w:right w:w="15" w:type="dxa"/>
          </w:tblCellMar>
        </w:tblPrEx>
        <w:trPr>
          <w:trHeight w:val="425" w:hRule="atLeast"/>
          <w:jc w:val="center"/>
        </w:trPr>
        <w:tc>
          <w:tcPr>
            <w:tcW w:w="137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绩效指标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一级指标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二级指标</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三级指标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rPr>
              <w:t>指标值</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产出指标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数量指标</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完成四类重点对象危房改造任务，加大对深度贫困地区其他农户的支持力度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000000"/>
                <w:kern w:val="0"/>
                <w:sz w:val="21"/>
                <w:szCs w:val="21"/>
              </w:rPr>
              <w:t>21335户</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质量指标</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改造后房屋验收合格比例</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1950"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农房设计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有基本设计</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时效指标</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当年开工率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成本指标</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执行分类分级补助标准，对深度贫困地区特困户倾斜支持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100%</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1950"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符合条件的危房修缮加固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因地制宜开展</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效益指标</w:t>
            </w:r>
          </w:p>
        </w:tc>
        <w:tc>
          <w:tcPr>
            <w:tcW w:w="19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社会效益指标</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改造后房屋在相当于本地区抗震设防烈度地震中表现</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无严重损毁</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195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人畜分离、卫生厕所等基本卫生条件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基本保障</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1950"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spacing w:val="-20"/>
                <w:kern w:val="0"/>
                <w:sz w:val="21"/>
                <w:szCs w:val="21"/>
              </w:rPr>
              <w:t>深度贫困地区县可按照贫困县统筹整合使用财政涉农资金的相关要求，依据当地脱贫攻坚规划，在农业生产发展和农村基础设施建设的范围内，将资金统筹安排使用</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统筹使用资金</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Cs/>
                <w:color w:val="000000"/>
                <w:sz w:val="21"/>
                <w:szCs w:val="21"/>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可持续影响指标</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改造后房屋保持安全期限</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拆除重建的≥30年                       维修加固的≥15年</w:t>
            </w:r>
          </w:p>
        </w:tc>
      </w:tr>
      <w:tr>
        <w:tblPrEx>
          <w:tblLayout w:type="fixed"/>
          <w:tblCellMar>
            <w:top w:w="15" w:type="dxa"/>
            <w:left w:w="15" w:type="dxa"/>
            <w:bottom w:w="15" w:type="dxa"/>
            <w:right w:w="15" w:type="dxa"/>
          </w:tblCellMar>
        </w:tblPrEx>
        <w:trPr>
          <w:trHeight w:val="425" w:hRule="atLeast"/>
          <w:jc w:val="center"/>
        </w:trPr>
        <w:tc>
          <w:tcPr>
            <w:tcW w:w="1370"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Theme="minorEastAsia" w:hAnsiTheme="minorEastAsia" w:eastAsiaTheme="minorEastAsia" w:cstheme="minorEastAsia"/>
                <w:b/>
                <w:color w:val="000000"/>
                <w:sz w:val="21"/>
                <w:szCs w:val="21"/>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满意度指标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kern w:val="0"/>
                <w:sz w:val="21"/>
                <w:szCs w:val="21"/>
              </w:rPr>
              <w:t>服务对象满意度指标</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危房改造户满意度</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rPr>
              <w:t>≥90</w:t>
            </w:r>
            <w:r>
              <w:rPr>
                <w:rStyle w:val="4"/>
                <w:rFonts w:hint="eastAsia" w:asciiTheme="minorEastAsia" w:hAnsiTheme="minorEastAsia" w:eastAsiaTheme="minorEastAsia" w:cstheme="minorEastAsia"/>
                <w:sz w:val="21"/>
                <w:szCs w:val="21"/>
              </w:rPr>
              <w:t>%</w:t>
            </w:r>
          </w:p>
        </w:tc>
      </w:tr>
    </w:tbl>
    <w:p>
      <w:pPr>
        <w:rPr>
          <w:rFonts w:hint="eastAsia" w:asciiTheme="minorEastAsia" w:hAnsiTheme="minorEastAsia" w:eastAsiaTheme="minorEastAsia" w:cs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66AD5"/>
    <w:rsid w:val="092128D0"/>
    <w:rsid w:val="128B7CF2"/>
    <w:rsid w:val="12CD2794"/>
    <w:rsid w:val="19B206DB"/>
    <w:rsid w:val="1FE1383A"/>
    <w:rsid w:val="22A77686"/>
    <w:rsid w:val="24FB2C8A"/>
    <w:rsid w:val="31CB4BF3"/>
    <w:rsid w:val="53802FD6"/>
    <w:rsid w:val="58516750"/>
    <w:rsid w:val="5DBE50F4"/>
    <w:rsid w:val="66C852C8"/>
    <w:rsid w:val="68B3163F"/>
    <w:rsid w:val="71DA2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21"/>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2018-07-02T01:49:00Z</cp:lastPrinted>
  <dcterms:modified xsi:type="dcterms:W3CDTF">2021-05-25T07:45:01Z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