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b/>
          <w:bCs/>
          <w:kern w:val="0"/>
          <w:sz w:val="32"/>
          <w:szCs w:val="32"/>
        </w:rPr>
      </w:pPr>
      <w:bookmarkStart w:id="0" w:name="_Toc117535617"/>
    </w:p>
    <w:p>
      <w:pPr>
        <w:adjustRightInd w:val="0"/>
        <w:snapToGrid w:val="0"/>
        <w:spacing w:line="360" w:lineRule="auto"/>
        <w:jc w:val="center"/>
        <w:rPr>
          <w:b/>
          <w:bCs/>
          <w:kern w:val="0"/>
          <w:sz w:val="32"/>
          <w:szCs w:val="32"/>
        </w:rPr>
      </w:pPr>
      <w:r>
        <w:rPr>
          <w:b/>
          <w:bCs/>
          <w:kern w:val="0"/>
          <w:sz w:val="32"/>
          <w:szCs w:val="32"/>
        </w:rPr>
        <w:t>《</w:t>
      </w:r>
      <w:r>
        <w:rPr>
          <w:rFonts w:hint="eastAsia"/>
          <w:b/>
          <w:bCs/>
          <w:kern w:val="0"/>
          <w:sz w:val="32"/>
          <w:szCs w:val="32"/>
        </w:rPr>
        <w:t>秦皇岛港总体规划》</w:t>
      </w:r>
    </w:p>
    <w:p>
      <w:pPr>
        <w:adjustRightInd w:val="0"/>
        <w:snapToGrid w:val="0"/>
        <w:spacing w:line="360" w:lineRule="auto"/>
        <w:jc w:val="center"/>
        <w:rPr>
          <w:b/>
          <w:bCs/>
          <w:kern w:val="0"/>
          <w:sz w:val="32"/>
          <w:szCs w:val="32"/>
        </w:rPr>
      </w:pPr>
      <w:r>
        <w:rPr>
          <w:b/>
          <w:bCs/>
          <w:kern w:val="0"/>
          <w:sz w:val="32"/>
          <w:szCs w:val="32"/>
        </w:rPr>
        <w:t>环境影响</w:t>
      </w:r>
      <w:r>
        <w:rPr>
          <w:rFonts w:hint="eastAsia"/>
          <w:b/>
          <w:bCs/>
          <w:kern w:val="0"/>
          <w:sz w:val="32"/>
          <w:szCs w:val="32"/>
        </w:rPr>
        <w:t>评价</w:t>
      </w:r>
      <w:r>
        <w:rPr>
          <w:b/>
          <w:bCs/>
          <w:kern w:val="0"/>
          <w:sz w:val="32"/>
          <w:szCs w:val="32"/>
        </w:rPr>
        <w:t>第二次公示</w:t>
      </w:r>
    </w:p>
    <w:p>
      <w:pPr>
        <w:pStyle w:val="2"/>
        <w:rPr>
          <w:rFonts w:hint="default"/>
        </w:rPr>
      </w:pPr>
    </w:p>
    <w:p>
      <w:pPr>
        <w:spacing w:after="120" w:line="360" w:lineRule="auto"/>
        <w:ind w:firstLine="560" w:firstLineChars="200"/>
        <w:rPr>
          <w:kern w:val="0"/>
          <w:sz w:val="28"/>
          <w:szCs w:val="28"/>
        </w:rPr>
      </w:pPr>
      <w:r>
        <w:rPr>
          <w:rFonts w:ascii="宋体" w:hAnsi="宋体" w:cs="宋体"/>
          <w:color w:val="000000"/>
          <w:kern w:val="0"/>
          <w:sz w:val="28"/>
          <w:szCs w:val="28"/>
        </w:rPr>
        <w:t>《</w:t>
      </w:r>
      <w:r>
        <w:rPr>
          <w:rFonts w:hint="eastAsia" w:ascii="宋体" w:hAnsi="宋体" w:cs="宋体"/>
          <w:color w:val="000000"/>
          <w:kern w:val="0"/>
          <w:sz w:val="28"/>
          <w:szCs w:val="28"/>
        </w:rPr>
        <w:t>秦皇岛港总体规划</w:t>
      </w:r>
      <w:r>
        <w:rPr>
          <w:rFonts w:ascii="宋体" w:hAnsi="宋体" w:cs="宋体"/>
          <w:color w:val="000000"/>
          <w:kern w:val="0"/>
          <w:sz w:val="28"/>
          <w:szCs w:val="28"/>
        </w:rPr>
        <w:t>》及其</w:t>
      </w:r>
      <w:r>
        <w:rPr>
          <w:kern w:val="0"/>
          <w:sz w:val="28"/>
          <w:szCs w:val="28"/>
        </w:rPr>
        <w:t>环境影响报告书正在编制</w:t>
      </w:r>
      <w:r>
        <w:rPr>
          <w:rFonts w:hint="eastAsia"/>
          <w:kern w:val="0"/>
          <w:sz w:val="28"/>
          <w:szCs w:val="28"/>
        </w:rPr>
        <w:t>，</w:t>
      </w:r>
      <w:r>
        <w:rPr>
          <w:kern w:val="0"/>
          <w:sz w:val="28"/>
          <w:szCs w:val="28"/>
        </w:rPr>
        <w:t>并完成初稿，根据《中华人民共和国环境保护法》、《环境影响评价公众参与暂行办法》（环发〔2006〕28号）等有关规定，现向公众发布本规划调整方案的环境影响评价主要信息。</w:t>
      </w:r>
    </w:p>
    <w:p>
      <w:pPr>
        <w:pStyle w:val="19"/>
        <w:spacing w:after="120"/>
      </w:pPr>
      <w:r>
        <w:rPr>
          <w:rFonts w:hint="eastAsia"/>
        </w:rPr>
        <w:t>一、</w:t>
      </w:r>
      <w:r>
        <w:t>规划概况及分析</w:t>
      </w:r>
      <w:bookmarkEnd w:id="0"/>
    </w:p>
    <w:p>
      <w:pPr>
        <w:pStyle w:val="16"/>
        <w:spacing w:before="120" w:after="120"/>
      </w:pPr>
      <w:r>
        <w:rPr>
          <w:rFonts w:hint="eastAsia"/>
        </w:rPr>
        <w:t>1、规划概况</w:t>
      </w:r>
    </w:p>
    <w:p>
      <w:pPr>
        <w:pStyle w:val="21"/>
        <w:ind w:firstLine="560"/>
        <w:rPr>
          <w:sz w:val="28"/>
          <w:szCs w:val="28"/>
        </w:rPr>
      </w:pPr>
      <w:r>
        <w:rPr>
          <w:sz w:val="28"/>
          <w:szCs w:val="28"/>
        </w:rPr>
        <w:t>（一）规划范围和重点</w:t>
      </w:r>
    </w:p>
    <w:p>
      <w:pPr>
        <w:pStyle w:val="21"/>
        <w:ind w:firstLine="560"/>
        <w:rPr>
          <w:sz w:val="28"/>
          <w:szCs w:val="28"/>
        </w:rPr>
      </w:pPr>
      <w:r>
        <w:rPr>
          <w:sz w:val="28"/>
          <w:szCs w:val="28"/>
        </w:rPr>
        <w:t>规划范围为秦皇岛市沿海岸线及相应水陆域。</w:t>
      </w:r>
    </w:p>
    <w:p>
      <w:pPr>
        <w:pStyle w:val="21"/>
        <w:ind w:firstLine="560"/>
        <w:rPr>
          <w:sz w:val="28"/>
          <w:szCs w:val="28"/>
        </w:rPr>
      </w:pPr>
      <w:r>
        <w:rPr>
          <w:sz w:val="28"/>
          <w:szCs w:val="28"/>
        </w:rPr>
        <w:t>规划基础年为20</w:t>
      </w:r>
      <w:r>
        <w:rPr>
          <w:rFonts w:hint="eastAsia"/>
          <w:sz w:val="28"/>
          <w:szCs w:val="28"/>
        </w:rPr>
        <w:t>21</w:t>
      </w:r>
      <w:r>
        <w:rPr>
          <w:sz w:val="28"/>
          <w:szCs w:val="28"/>
        </w:rPr>
        <w:t>年，水平年202</w:t>
      </w:r>
      <w:r>
        <w:rPr>
          <w:rFonts w:hint="eastAsia"/>
          <w:sz w:val="28"/>
          <w:szCs w:val="28"/>
        </w:rPr>
        <w:t>5</w:t>
      </w:r>
      <w:r>
        <w:rPr>
          <w:sz w:val="28"/>
          <w:szCs w:val="28"/>
        </w:rPr>
        <w:t>年和203</w:t>
      </w:r>
      <w:r>
        <w:rPr>
          <w:rFonts w:hint="eastAsia"/>
          <w:sz w:val="28"/>
          <w:szCs w:val="28"/>
        </w:rPr>
        <w:t>5</w:t>
      </w:r>
      <w:r>
        <w:rPr>
          <w:sz w:val="28"/>
          <w:szCs w:val="28"/>
        </w:rPr>
        <w:t>年。</w:t>
      </w:r>
    </w:p>
    <w:p>
      <w:pPr>
        <w:pStyle w:val="21"/>
        <w:ind w:firstLine="560"/>
        <w:rPr>
          <w:sz w:val="28"/>
          <w:szCs w:val="28"/>
        </w:rPr>
      </w:pPr>
      <w:r>
        <w:rPr>
          <w:sz w:val="28"/>
          <w:szCs w:val="28"/>
        </w:rPr>
        <w:t>（二）功能定位</w:t>
      </w:r>
    </w:p>
    <w:p>
      <w:pPr>
        <w:pStyle w:val="21"/>
        <w:ind w:firstLine="562"/>
        <w:rPr>
          <w:sz w:val="28"/>
          <w:szCs w:val="28"/>
        </w:rPr>
      </w:pPr>
      <w:r>
        <w:rPr>
          <w:rFonts w:hint="eastAsia"/>
          <w:b/>
          <w:sz w:val="28"/>
          <w:szCs w:val="28"/>
        </w:rPr>
        <w:t>秦皇岛港性质定位</w:t>
      </w:r>
      <w:r>
        <w:rPr>
          <w:rFonts w:hint="eastAsia"/>
          <w:sz w:val="28"/>
          <w:szCs w:val="28"/>
        </w:rPr>
        <w:t>为：秦皇岛港是国家沿海主要港口和综合运输体系的重要枢纽，是华北、西北和东北部分地区扩大对外开放的重要出海口，是促进河北省、秦皇岛市经济发展和产业布局的重要依托。秦皇岛港将在保障国家能源运输安全的基础上，着力推进布局优化、结构调整、功能拓展和转型升级，打造“两港一平台”。</w:t>
      </w:r>
    </w:p>
    <w:p>
      <w:pPr>
        <w:pStyle w:val="21"/>
        <w:ind w:firstLine="560"/>
        <w:rPr>
          <w:sz w:val="28"/>
          <w:szCs w:val="28"/>
        </w:rPr>
      </w:pPr>
      <w:r>
        <w:rPr>
          <w:rFonts w:hint="eastAsia"/>
          <w:sz w:val="28"/>
          <w:szCs w:val="28"/>
        </w:rPr>
        <w:t>建设国际知名旅游港，积极发展沿海客运、邮轮、游艇及帆船功能，满足国际国内游客海上旅游休闲消费需求；建设现代综合贸易港，完善集疏运体系和内陆“无水港”，大力发展集装箱和散杂货运输；建设特色临港产业平台，立足京津冀，辐射环渤海地区和“三北”地区，面向东北亚和中蒙俄，拓展临港加工制造和物流基地等产业体系。</w:t>
      </w:r>
    </w:p>
    <w:p>
      <w:pPr>
        <w:pStyle w:val="21"/>
        <w:ind w:firstLine="560"/>
        <w:rPr>
          <w:sz w:val="28"/>
          <w:szCs w:val="28"/>
        </w:rPr>
      </w:pPr>
      <w:r>
        <w:rPr>
          <w:sz w:val="28"/>
          <w:szCs w:val="28"/>
        </w:rPr>
        <w:t>（三）吞吐量</w:t>
      </w:r>
    </w:p>
    <w:p>
      <w:pPr>
        <w:pStyle w:val="21"/>
        <w:ind w:firstLine="560"/>
        <w:rPr>
          <w:sz w:val="28"/>
          <w:szCs w:val="28"/>
        </w:rPr>
      </w:pPr>
      <w:r>
        <w:rPr>
          <w:rFonts w:hint="eastAsia"/>
          <w:sz w:val="28"/>
          <w:szCs w:val="28"/>
        </w:rPr>
        <w:t>根据腹地经济发展形势分析及港口结构调整需要，秦皇岛港将保持煤炭运量，发展集装箱等货类和旅游客运。预测秦皇岛港货物吞吐量2025年为2.25亿吨，2035年为3亿吨。其中，集装箱吞吐量分别为100万标箱和300万标箱；旅客吞吐量分别为60万人次和160万人次。</w:t>
      </w:r>
    </w:p>
    <w:p>
      <w:pPr>
        <w:pStyle w:val="21"/>
        <w:ind w:firstLine="560"/>
        <w:rPr>
          <w:sz w:val="28"/>
          <w:szCs w:val="28"/>
        </w:rPr>
      </w:pPr>
      <w:r>
        <w:rPr>
          <w:rFonts w:hint="eastAsia"/>
          <w:sz w:val="28"/>
          <w:szCs w:val="28"/>
        </w:rPr>
        <w:t xml:space="preserve">   </w:t>
      </w:r>
      <w:r>
        <w:rPr>
          <w:sz w:val="28"/>
          <w:szCs w:val="28"/>
        </w:rPr>
        <w:t>（四）岸线利用规划</w:t>
      </w:r>
    </w:p>
    <w:p>
      <w:pPr>
        <w:pStyle w:val="21"/>
        <w:ind w:firstLine="560"/>
        <w:rPr>
          <w:sz w:val="28"/>
          <w:szCs w:val="28"/>
        </w:rPr>
      </w:pPr>
      <w:r>
        <w:rPr>
          <w:rFonts w:hint="eastAsia"/>
          <w:sz w:val="28"/>
          <w:szCs w:val="28"/>
        </w:rPr>
        <w:t>秦皇岛市海岸线总长184.88公里，本次规划港口岸线长11.4公里，占全市岸线的6%，全部为已利用岸线。其中山海关港区使用冀辽省界至哈动力码头之间的岸线，长度1.9公里；东港区和西港区使用沙河口至汤河口之间的岸线，长度9.5公里。</w:t>
      </w:r>
    </w:p>
    <w:p>
      <w:pPr>
        <w:pStyle w:val="21"/>
        <w:ind w:firstLine="560"/>
        <w:rPr>
          <w:sz w:val="28"/>
          <w:szCs w:val="28"/>
        </w:rPr>
      </w:pPr>
      <w:r>
        <w:rPr>
          <w:sz w:val="28"/>
          <w:szCs w:val="28"/>
        </w:rPr>
        <w:t>（五）陆域布置方案</w:t>
      </w:r>
    </w:p>
    <w:p>
      <w:pPr>
        <w:pStyle w:val="21"/>
        <w:ind w:firstLine="560"/>
        <w:rPr>
          <w:sz w:val="28"/>
          <w:szCs w:val="28"/>
        </w:rPr>
      </w:pPr>
      <w:r>
        <w:rPr>
          <w:rFonts w:hint="eastAsia"/>
          <w:sz w:val="28"/>
          <w:szCs w:val="28"/>
        </w:rPr>
        <w:t>根据城市发展、产业布局、岸线资源分布等特点，秦皇岛港将主要集中在汤河口～沙河口之间，依托现有的基础设施集中发展，并开发利用好山海关港区岸线。秦皇岛港未来将建设成为“重心东港、调整西港、侧翼山海”的总体发展格局，划分为东港区、西港区、山海关港区共3个港区，新开河港区纳入西港区。各港区功能如下：</w:t>
      </w:r>
    </w:p>
    <w:p>
      <w:pPr>
        <w:pStyle w:val="21"/>
        <w:ind w:firstLine="560"/>
        <w:rPr>
          <w:sz w:val="28"/>
          <w:szCs w:val="28"/>
        </w:rPr>
      </w:pPr>
      <w:r>
        <w:rPr>
          <w:rFonts w:hint="eastAsia"/>
          <w:sz w:val="28"/>
          <w:szCs w:val="28"/>
        </w:rPr>
        <w:t>东港区：是秦皇岛港的核心港区，在保障国家能源运输基础上，完善综合运输服务功能，发展其他货类运输。</w:t>
      </w:r>
    </w:p>
    <w:p>
      <w:pPr>
        <w:pStyle w:val="21"/>
        <w:ind w:firstLine="560"/>
        <w:rPr>
          <w:sz w:val="28"/>
          <w:szCs w:val="28"/>
        </w:rPr>
      </w:pPr>
      <w:r>
        <w:rPr>
          <w:rFonts w:hint="eastAsia"/>
          <w:sz w:val="28"/>
          <w:szCs w:val="28"/>
        </w:rPr>
        <w:t>西港区：兼顾近远期发展，拓展邮轮、游艇、滨海休闲度假等功能。东部片区退出货运功能，发展旅游客运和海上运动功能；西部片区近期继续保留货运功能，并适度扩大集装箱运输规模，远期根据发展需要和评估情况进行功能调整。</w:t>
      </w:r>
    </w:p>
    <w:p>
      <w:pPr>
        <w:pStyle w:val="21"/>
        <w:ind w:firstLine="560"/>
        <w:rPr>
          <w:sz w:val="28"/>
          <w:szCs w:val="28"/>
        </w:rPr>
      </w:pPr>
      <w:r>
        <w:rPr>
          <w:rFonts w:hint="eastAsia"/>
          <w:sz w:val="28"/>
          <w:szCs w:val="28"/>
        </w:rPr>
        <w:t>山海关港区：山海关港区依托内陆腹地和山海关铁路编组站，发展海铁联运，打造对外开放口岸新高地。</w:t>
      </w:r>
    </w:p>
    <w:p>
      <w:pPr>
        <w:pStyle w:val="16"/>
        <w:spacing w:before="120" w:after="120"/>
      </w:pPr>
      <w:r>
        <w:rPr>
          <w:rFonts w:hint="eastAsia"/>
        </w:rPr>
        <w:t>2、规划环境制约因素分析</w:t>
      </w:r>
    </w:p>
    <w:p>
      <w:pPr>
        <w:pStyle w:val="21"/>
        <w:ind w:firstLine="560"/>
        <w:rPr>
          <w:sz w:val="28"/>
          <w:szCs w:val="28"/>
        </w:rPr>
      </w:pPr>
      <w:r>
        <w:rPr>
          <w:sz w:val="28"/>
          <w:szCs w:val="28"/>
        </w:rPr>
        <w:t>前述现状调查数据表明，</w:t>
      </w:r>
      <w:r>
        <w:rPr>
          <w:rFonts w:hint="eastAsia"/>
          <w:sz w:val="28"/>
          <w:szCs w:val="28"/>
        </w:rPr>
        <w:t>秦皇岛港</w:t>
      </w:r>
      <w:r>
        <w:rPr>
          <w:sz w:val="28"/>
          <w:szCs w:val="28"/>
        </w:rPr>
        <w:t>规划区域大气均可达到《环境空气质量标准》（GB3095-2012）中二级标准要求</w:t>
      </w:r>
      <w:r>
        <w:rPr>
          <w:rFonts w:hint="eastAsia"/>
          <w:sz w:val="28"/>
          <w:szCs w:val="28"/>
        </w:rPr>
        <w:t>，</w:t>
      </w:r>
      <w:r>
        <w:rPr>
          <w:sz w:val="28"/>
          <w:szCs w:val="28"/>
        </w:rPr>
        <w:t>近岸海域水质良好。</w:t>
      </w:r>
      <w:r>
        <w:rPr>
          <w:rFonts w:hint="eastAsia"/>
          <w:sz w:val="28"/>
          <w:szCs w:val="28"/>
        </w:rPr>
        <w:t>本次秦皇岛港总体规划</w:t>
      </w:r>
      <w:r>
        <w:rPr>
          <w:sz w:val="28"/>
          <w:szCs w:val="28"/>
        </w:rPr>
        <w:t>不占用环境敏感区，本次规划修订方案的实施不存在明显的环境制约因素。但规划区附近分布</w:t>
      </w:r>
      <w:r>
        <w:rPr>
          <w:rFonts w:hint="eastAsia"/>
          <w:sz w:val="28"/>
          <w:szCs w:val="28"/>
        </w:rPr>
        <w:t>水产种质资源资源保护区</w:t>
      </w:r>
      <w:r>
        <w:rPr>
          <w:sz w:val="28"/>
          <w:szCs w:val="28"/>
        </w:rPr>
        <w:t>、</w:t>
      </w:r>
      <w:r>
        <w:rPr>
          <w:rFonts w:hint="eastAsia"/>
          <w:sz w:val="28"/>
          <w:szCs w:val="28"/>
        </w:rPr>
        <w:t>候鸟栖息地</w:t>
      </w:r>
      <w:r>
        <w:rPr>
          <w:sz w:val="28"/>
          <w:szCs w:val="28"/>
        </w:rPr>
        <w:t>、</w:t>
      </w:r>
      <w:r>
        <w:rPr>
          <w:rFonts w:hint="eastAsia"/>
          <w:sz w:val="28"/>
          <w:szCs w:val="28"/>
        </w:rPr>
        <w:t>国家级风景名胜区、海洋公园</w:t>
      </w:r>
      <w:r>
        <w:rPr>
          <w:sz w:val="28"/>
          <w:szCs w:val="28"/>
        </w:rPr>
        <w:t>等敏感生境，规划实施可能发生风险事故对周边保护区生境和保护对象等造成一定的潜在威胁。</w:t>
      </w:r>
    </w:p>
    <w:p>
      <w:pPr>
        <w:pStyle w:val="16"/>
        <w:spacing w:before="120" w:after="120"/>
      </w:pPr>
      <w:r>
        <w:rPr>
          <w:rFonts w:hint="eastAsia"/>
        </w:rPr>
        <w:t>3、</w:t>
      </w:r>
      <w:r>
        <w:t>规划协调性、一致性分析</w:t>
      </w:r>
    </w:p>
    <w:p>
      <w:pPr>
        <w:spacing w:before="50" w:afterLines="50" w:line="360" w:lineRule="auto"/>
        <w:ind w:firstLine="482"/>
        <w:contextualSpacing/>
        <w:rPr>
          <w:rFonts w:ascii="Times New Roman" w:hAnsi="Times New Roman" w:cs="Times New Roman"/>
          <w:sz w:val="28"/>
          <w:szCs w:val="28"/>
        </w:rPr>
      </w:pPr>
      <w:r>
        <w:rPr>
          <w:rFonts w:ascii="Times New Roman" w:hAnsi="Times New Roman" w:cs="Times New Roman"/>
          <w:sz w:val="28"/>
          <w:szCs w:val="28"/>
        </w:rPr>
        <w:t>本次</w:t>
      </w:r>
      <w:r>
        <w:rPr>
          <w:rFonts w:hint="eastAsia" w:ascii="Times New Roman" w:hAnsi="Times New Roman" w:cs="Times New Roman"/>
          <w:sz w:val="28"/>
          <w:szCs w:val="28"/>
        </w:rPr>
        <w:t>秦皇岛港总体</w:t>
      </w:r>
      <w:r>
        <w:rPr>
          <w:rFonts w:ascii="Times New Roman" w:hAnsi="Times New Roman" w:cs="Times New Roman"/>
          <w:sz w:val="28"/>
          <w:szCs w:val="28"/>
        </w:rPr>
        <w:t>订在港口性质和功能定位、运输货种方面基本遵循</w:t>
      </w:r>
      <w:r>
        <w:rPr>
          <w:rFonts w:hint="eastAsia" w:ascii="Times New Roman" w:hAnsi="Times New Roman" w:cs="Times New Roman"/>
          <w:sz w:val="28"/>
          <w:szCs w:val="28"/>
        </w:rPr>
        <w:t>《河北省综合立体交通网规划纲要》</w:t>
      </w:r>
      <w:r>
        <w:rPr>
          <w:rFonts w:ascii="Times New Roman" w:hAnsi="Times New Roman" w:cs="Times New Roman"/>
          <w:sz w:val="28"/>
          <w:szCs w:val="28"/>
        </w:rPr>
        <w:t>《</w:t>
      </w:r>
      <w:r>
        <w:rPr>
          <w:rFonts w:hint="eastAsia" w:ascii="Times New Roman" w:hAnsi="Times New Roman" w:cs="Times New Roman"/>
          <w:sz w:val="28"/>
          <w:szCs w:val="28"/>
        </w:rPr>
        <w:t>河北省沿海港口</w:t>
      </w:r>
      <w:r>
        <w:rPr>
          <w:rFonts w:ascii="Times New Roman" w:hAnsi="Times New Roman" w:cs="Times New Roman"/>
          <w:sz w:val="28"/>
          <w:szCs w:val="28"/>
        </w:rPr>
        <w:t>“十四五”发展规划》《</w:t>
      </w:r>
      <w:r>
        <w:rPr>
          <w:rFonts w:hint="eastAsia" w:ascii="Times New Roman" w:hAnsi="Times New Roman" w:cs="Times New Roman"/>
          <w:sz w:val="28"/>
          <w:szCs w:val="28"/>
        </w:rPr>
        <w:t>河北省</w:t>
      </w:r>
      <w:r>
        <w:rPr>
          <w:rFonts w:ascii="Times New Roman" w:hAnsi="Times New Roman" w:cs="Times New Roman"/>
          <w:sz w:val="28"/>
          <w:szCs w:val="28"/>
        </w:rPr>
        <w:t>“十四五”综合交通运输规划》等对</w:t>
      </w:r>
      <w:r>
        <w:rPr>
          <w:rFonts w:hint="eastAsia" w:ascii="Times New Roman" w:hAnsi="Times New Roman" w:cs="Times New Roman"/>
          <w:sz w:val="28"/>
          <w:szCs w:val="28"/>
        </w:rPr>
        <w:t>秦皇岛港</w:t>
      </w:r>
      <w:r>
        <w:rPr>
          <w:rFonts w:ascii="Times New Roman" w:hAnsi="Times New Roman" w:cs="Times New Roman"/>
          <w:sz w:val="28"/>
          <w:szCs w:val="28"/>
        </w:rPr>
        <w:t>的要求，其建设目标与思路、岸线规划方案等，与《国务院关于加强滨海湿地保护严格管控围填海的通知》《</w:t>
      </w:r>
      <w:r>
        <w:rPr>
          <w:rFonts w:hint="eastAsia" w:ascii="Times New Roman" w:hAnsi="Times New Roman" w:cs="Times New Roman"/>
          <w:sz w:val="28"/>
          <w:szCs w:val="28"/>
        </w:rPr>
        <w:t>河北省</w:t>
      </w:r>
      <w:r>
        <w:rPr>
          <w:rFonts w:ascii="Times New Roman" w:hAnsi="Times New Roman" w:cs="Times New Roman"/>
          <w:sz w:val="28"/>
          <w:szCs w:val="28"/>
        </w:rPr>
        <w:t>海洋功能区划》《</w:t>
      </w:r>
      <w:r>
        <w:rPr>
          <w:rFonts w:hint="eastAsia" w:ascii="Times New Roman" w:hAnsi="Times New Roman" w:cs="Times New Roman"/>
          <w:sz w:val="28"/>
          <w:szCs w:val="28"/>
        </w:rPr>
        <w:t>河北省</w:t>
      </w:r>
      <w:r>
        <w:rPr>
          <w:rFonts w:ascii="Times New Roman" w:hAnsi="Times New Roman" w:cs="Times New Roman"/>
          <w:sz w:val="28"/>
          <w:szCs w:val="28"/>
        </w:rPr>
        <w:t>近岸海域环境功能区划》</w:t>
      </w:r>
      <w:r>
        <w:rPr>
          <w:rFonts w:hint="eastAsia" w:ascii="Times New Roman" w:hAnsi="Times New Roman" w:cs="Times New Roman"/>
          <w:sz w:val="28"/>
          <w:szCs w:val="28"/>
        </w:rPr>
        <w:t>《秦皇岛市国土空间规划》《秦皇岛市“三线一单”生态环境分区管控方案》等的功能定位和空间管控要求</w:t>
      </w:r>
      <w:r>
        <w:rPr>
          <w:rFonts w:ascii="Times New Roman" w:hAnsi="Times New Roman" w:cs="Times New Roman"/>
          <w:sz w:val="28"/>
          <w:szCs w:val="28"/>
        </w:rPr>
        <w:t>。</w:t>
      </w:r>
    </w:p>
    <w:p>
      <w:pPr>
        <w:spacing w:beforeLines="50" w:afterLines="50" w:line="360" w:lineRule="auto"/>
        <w:outlineLvl w:val="2"/>
        <w:rPr>
          <w:rFonts w:eastAsia="黑体"/>
          <w:sz w:val="28"/>
          <w:szCs w:val="28"/>
        </w:rPr>
      </w:pPr>
      <w:r>
        <w:rPr>
          <w:rFonts w:hint="eastAsia" w:eastAsia="黑体"/>
          <w:sz w:val="28"/>
          <w:szCs w:val="28"/>
        </w:rPr>
        <w:t>4、与“三线一单”的符合性分析</w:t>
      </w:r>
    </w:p>
    <w:p>
      <w:pPr>
        <w:pStyle w:val="21"/>
        <w:ind w:firstLine="560"/>
        <w:rPr>
          <w:sz w:val="28"/>
          <w:szCs w:val="28"/>
        </w:rPr>
      </w:pPr>
      <w:r>
        <w:rPr>
          <w:sz w:val="28"/>
          <w:szCs w:val="28"/>
        </w:rPr>
        <w:t>本次</w:t>
      </w:r>
      <w:r>
        <w:rPr>
          <w:rFonts w:hint="eastAsia"/>
          <w:sz w:val="28"/>
          <w:szCs w:val="28"/>
        </w:rPr>
        <w:t>秦皇岛港</w:t>
      </w:r>
      <w:r>
        <w:rPr>
          <w:sz w:val="28"/>
          <w:szCs w:val="28"/>
        </w:rPr>
        <w:t>规划范围</w:t>
      </w:r>
      <w:r>
        <w:rPr>
          <w:rFonts w:hint="eastAsia"/>
          <w:sz w:val="28"/>
          <w:szCs w:val="28"/>
        </w:rPr>
        <w:t>不涉及优先保护单元，均</w:t>
      </w:r>
      <w:r>
        <w:rPr>
          <w:sz w:val="28"/>
          <w:szCs w:val="28"/>
        </w:rPr>
        <w:t>位于重点管控区内，需按照“三线一单”的管控要求，加强港区内环境污染控制。本次评价建议在</w:t>
      </w:r>
      <w:r>
        <w:rPr>
          <w:rFonts w:hint="eastAsia"/>
          <w:sz w:val="28"/>
          <w:szCs w:val="28"/>
        </w:rPr>
        <w:t>秦皇岛港规划范围内</w:t>
      </w:r>
      <w:r>
        <w:rPr>
          <w:sz w:val="28"/>
          <w:szCs w:val="28"/>
        </w:rPr>
        <w:t>，不开采地下水，大气污染物经有效处理后不会明显影响区域大气环境质量；货种不属于高污染货种，且不属于国家产能置换要求的严重过剩产能行业；规划实施及运营过程中，能充分落实生态环境保护的基本要求，妥善处理港区和船舶污染物，有助于推动区域环境质量的持续改善。因此，采纳本调整建议的基础上，本次规划修订符合《</w:t>
      </w:r>
      <w:r>
        <w:rPr>
          <w:rFonts w:hint="eastAsia"/>
          <w:sz w:val="28"/>
          <w:szCs w:val="28"/>
        </w:rPr>
        <w:t>秦皇岛市</w:t>
      </w:r>
      <w:r>
        <w:rPr>
          <w:sz w:val="28"/>
          <w:szCs w:val="28"/>
        </w:rPr>
        <w:t>“三线一单”生态环境分区管控实施方案》等“三线一单”相关方案的要求。</w:t>
      </w:r>
    </w:p>
    <w:p>
      <w:pPr>
        <w:spacing w:beforeLines="50" w:afterLines="50" w:line="360" w:lineRule="auto"/>
        <w:outlineLvl w:val="2"/>
        <w:rPr>
          <w:rFonts w:eastAsia="黑体"/>
          <w:sz w:val="28"/>
          <w:szCs w:val="28"/>
        </w:rPr>
      </w:pPr>
      <w:r>
        <w:rPr>
          <w:rFonts w:hint="eastAsia" w:eastAsia="黑体"/>
          <w:sz w:val="28"/>
          <w:szCs w:val="28"/>
        </w:rPr>
        <w:t>5、资源承载力分析</w:t>
      </w:r>
    </w:p>
    <w:p>
      <w:pPr>
        <w:pStyle w:val="21"/>
        <w:ind w:firstLine="560"/>
        <w:rPr>
          <w:sz w:val="28"/>
          <w:szCs w:val="28"/>
        </w:rPr>
      </w:pPr>
      <w:r>
        <w:rPr>
          <w:sz w:val="28"/>
          <w:szCs w:val="28"/>
        </w:rPr>
        <w:t>规划实施后，秦皇岛港共港口岸线</w:t>
      </w:r>
      <w:r>
        <w:rPr>
          <w:rFonts w:hint="eastAsia"/>
          <w:sz w:val="28"/>
          <w:szCs w:val="28"/>
        </w:rPr>
        <w:t>11.4</w:t>
      </w:r>
      <w:r>
        <w:rPr>
          <w:sz w:val="28"/>
          <w:szCs w:val="28"/>
        </w:rPr>
        <w:t>km，</w:t>
      </w:r>
      <w:r>
        <w:rPr>
          <w:rFonts w:hint="eastAsia"/>
          <w:sz w:val="28"/>
          <w:szCs w:val="28"/>
        </w:rPr>
        <w:t>占全市岸线的6%，全部为</w:t>
      </w:r>
      <w:r>
        <w:rPr>
          <w:sz w:val="28"/>
          <w:szCs w:val="28"/>
        </w:rPr>
        <w:t>已利用</w:t>
      </w:r>
      <w:r>
        <w:rPr>
          <w:rFonts w:hint="eastAsia"/>
          <w:sz w:val="28"/>
          <w:szCs w:val="28"/>
        </w:rPr>
        <w:t>岸线</w:t>
      </w:r>
      <w:r>
        <w:rPr>
          <w:sz w:val="28"/>
          <w:szCs w:val="28"/>
        </w:rPr>
        <w:t>。规划实施后，单位岸线吞吐量</w:t>
      </w:r>
      <w:r>
        <w:rPr>
          <w:rFonts w:hint="eastAsia"/>
          <w:sz w:val="28"/>
          <w:szCs w:val="28"/>
        </w:rPr>
        <w:t>达到26316</w:t>
      </w:r>
      <w:r>
        <w:rPr>
          <w:sz w:val="28"/>
          <w:szCs w:val="28"/>
        </w:rPr>
        <w:t>t/m，岸线利用效率较高。</w:t>
      </w:r>
    </w:p>
    <w:p>
      <w:pPr>
        <w:pStyle w:val="21"/>
        <w:ind w:firstLine="560"/>
        <w:rPr>
          <w:sz w:val="28"/>
          <w:szCs w:val="28"/>
        </w:rPr>
      </w:pPr>
      <w:r>
        <w:rPr>
          <w:sz w:val="28"/>
          <w:szCs w:val="28"/>
        </w:rPr>
        <w:t>秦皇岛港单位面积吞吐量为</w:t>
      </w:r>
      <w:r>
        <w:rPr>
          <w:rFonts w:hint="eastAsia"/>
          <w:sz w:val="28"/>
          <w:szCs w:val="28"/>
        </w:rPr>
        <w:t>1592</w:t>
      </w:r>
      <w:r>
        <w:rPr>
          <w:sz w:val="28"/>
          <w:szCs w:val="28"/>
        </w:rPr>
        <w:t>万吨/公顷，总体来看，土地利用效率较高，但山海关港区还需进一步提高土地资源集约化利用程度。</w:t>
      </w:r>
    </w:p>
    <w:p>
      <w:pPr>
        <w:pStyle w:val="21"/>
        <w:ind w:firstLine="560"/>
        <w:rPr>
          <w:sz w:val="28"/>
          <w:szCs w:val="28"/>
        </w:rPr>
      </w:pPr>
      <w:r>
        <w:rPr>
          <w:sz w:val="28"/>
          <w:szCs w:val="28"/>
        </w:rPr>
        <w:t>通过对《秦皇岛港总体规划》实施将占用的资源情况分析得出，秦皇岛港规划范围内水资源、岸线资源存量能够支撑港口规划提出的发展规模。建议港口规划部门根据未来发展需求，在规划方案中明确规划的分期实施进程，明确提出各规划水平年的港口建设目标及用地目标，并对规划作业区制定相应的按时序开发利用方案。</w:t>
      </w:r>
    </w:p>
    <w:p>
      <w:pPr>
        <w:pStyle w:val="19"/>
        <w:spacing w:after="120"/>
        <w:rPr>
          <w:sz w:val="28"/>
        </w:rPr>
      </w:pPr>
      <w:bookmarkStart w:id="1" w:name="_Toc117535618"/>
      <w:r>
        <w:rPr>
          <w:rFonts w:hint="eastAsia"/>
          <w:sz w:val="28"/>
        </w:rPr>
        <w:t>二、</w:t>
      </w:r>
      <w:r>
        <w:rPr>
          <w:sz w:val="28"/>
        </w:rPr>
        <w:t>环境影响评价结论</w:t>
      </w:r>
      <w:bookmarkEnd w:id="1"/>
    </w:p>
    <w:p>
      <w:pPr>
        <w:pStyle w:val="16"/>
        <w:spacing w:before="120" w:after="120"/>
      </w:pPr>
      <w:r>
        <w:rPr>
          <w:rFonts w:hint="eastAsia"/>
        </w:rPr>
        <w:t>1、</w:t>
      </w:r>
      <w:r>
        <w:t>水环境影响评价</w:t>
      </w:r>
      <w:r>
        <w:rPr>
          <w:rFonts w:hint="eastAsia"/>
        </w:rPr>
        <w:t>结论</w:t>
      </w:r>
    </w:p>
    <w:p>
      <w:pPr>
        <w:pStyle w:val="21"/>
        <w:ind w:firstLine="560"/>
        <w:rPr>
          <w:sz w:val="28"/>
          <w:szCs w:val="28"/>
        </w:rPr>
      </w:pPr>
      <w:r>
        <w:rPr>
          <w:rFonts w:hint="eastAsia"/>
          <w:sz w:val="28"/>
          <w:szCs w:val="28"/>
        </w:rPr>
        <w:t>本次规划的主要利用已有陆域进行港口发展，不新增海域围填，各港区规划建设对所处海域的水动力条件的影响较小。规划实施不会对区域海洋水动力环境及秦皇岛市滨海岸线的稳定性、水流流态、泥沙冲淤等造成显著影响。</w:t>
      </w:r>
    </w:p>
    <w:p>
      <w:pPr>
        <w:pStyle w:val="21"/>
        <w:ind w:firstLine="560"/>
        <w:rPr>
          <w:sz w:val="28"/>
          <w:szCs w:val="28"/>
        </w:rPr>
      </w:pPr>
      <w:r>
        <w:rPr>
          <w:rFonts w:hint="eastAsia"/>
          <w:sz w:val="28"/>
          <w:szCs w:val="28"/>
        </w:rPr>
        <w:t>规划施工期的影响主要是港池和航道疏浚，挖泥船施工时基本上是定点作业，悬浮疏浚物的扩散机理类似于连续点源扩散。施工时由于铲头的扰动造成底泥悬浮并随流扩散，在施工区水域形成条状浑浊水体，影响随着施工结束快速消失。</w:t>
      </w:r>
    </w:p>
    <w:p>
      <w:pPr>
        <w:pStyle w:val="21"/>
        <w:ind w:firstLine="560"/>
        <w:rPr>
          <w:sz w:val="28"/>
          <w:szCs w:val="28"/>
        </w:rPr>
      </w:pPr>
      <w:r>
        <w:rPr>
          <w:rFonts w:hint="eastAsia"/>
          <w:sz w:val="28"/>
          <w:szCs w:val="28"/>
        </w:rPr>
        <w:t>到</w:t>
      </w:r>
      <w:r>
        <w:rPr>
          <w:sz w:val="28"/>
          <w:szCs w:val="28"/>
        </w:rPr>
        <w:t xml:space="preserve"> 2035</w:t>
      </w:r>
      <w:r>
        <w:rPr>
          <w:rFonts w:hint="eastAsia"/>
          <w:sz w:val="28"/>
          <w:szCs w:val="28"/>
        </w:rPr>
        <w:t>年，秦皇岛港污水产生量将达到为163万t/a，西港区、东港区及山海关港区现状的港区污水处理后，通过纳管排入城市污水处理厂，规划实施后已就通过市政管网纳入城市污水处理厂进行统一处理，不新增排污口。船舶污水和港区生产废水由船舶污染物接收企业或有资质的单位收集处置，实现油污水的零排放，禁止船舶污水排入海域。</w:t>
      </w:r>
    </w:p>
    <w:p>
      <w:pPr>
        <w:pStyle w:val="21"/>
        <w:ind w:firstLine="560"/>
        <w:rPr>
          <w:sz w:val="28"/>
          <w:szCs w:val="28"/>
        </w:rPr>
      </w:pPr>
      <w:r>
        <w:rPr>
          <w:rFonts w:hint="eastAsia"/>
          <w:sz w:val="28"/>
          <w:szCs w:val="28"/>
        </w:rPr>
        <w:t>随着港口现代化程度的提高，港区职工人数将进一步减少，同时各种环境保护措施也将更加先进。规划实施后，港口生活污水排放总量还可能进一步削减。因此，只要能够采纳港区生活污水治理措施的相关建议，并配套相应设施，禁止直排，污水产生基本不会给渤海水质带来明显影响。</w:t>
      </w:r>
    </w:p>
    <w:p>
      <w:pPr>
        <w:pStyle w:val="6"/>
        <w:rPr>
          <w:sz w:val="28"/>
          <w:szCs w:val="28"/>
        </w:rPr>
      </w:pPr>
      <w:r>
        <w:rPr>
          <w:rFonts w:hint="eastAsia"/>
          <w:sz w:val="28"/>
          <w:szCs w:val="28"/>
        </w:rPr>
        <w:t>2、生态</w:t>
      </w:r>
      <w:r>
        <w:rPr>
          <w:sz w:val="28"/>
          <w:szCs w:val="28"/>
        </w:rPr>
        <w:t>影响评价</w:t>
      </w:r>
      <w:r>
        <w:rPr>
          <w:rFonts w:hint="eastAsia"/>
          <w:sz w:val="28"/>
          <w:szCs w:val="28"/>
        </w:rPr>
        <w:t>结论</w:t>
      </w:r>
    </w:p>
    <w:p>
      <w:pPr>
        <w:pStyle w:val="21"/>
        <w:ind w:firstLine="560"/>
        <w:rPr>
          <w:sz w:val="28"/>
          <w:szCs w:val="28"/>
        </w:rPr>
      </w:pPr>
      <w:r>
        <w:rPr>
          <w:rFonts w:hint="eastAsia"/>
          <w:sz w:val="28"/>
          <w:szCs w:val="28"/>
        </w:rPr>
        <w:t>本次秦皇岛港总体规划在主要依托现有港区进行布局优化和局部拓展，</w:t>
      </w:r>
      <w:r>
        <w:rPr>
          <w:sz w:val="28"/>
          <w:szCs w:val="28"/>
        </w:rPr>
        <w:t>不涉及新增自然</w:t>
      </w:r>
      <w:r>
        <w:rPr>
          <w:rFonts w:hint="eastAsia"/>
          <w:sz w:val="28"/>
          <w:szCs w:val="28"/>
        </w:rPr>
        <w:t>岸线</w:t>
      </w:r>
      <w:r>
        <w:rPr>
          <w:sz w:val="28"/>
          <w:szCs w:val="28"/>
        </w:rPr>
        <w:t>，</w:t>
      </w:r>
      <w:r>
        <w:rPr>
          <w:rFonts w:hint="eastAsia"/>
          <w:sz w:val="28"/>
          <w:szCs w:val="28"/>
        </w:rPr>
        <w:t>无新增围填海工程</w:t>
      </w:r>
      <w:r>
        <w:rPr>
          <w:rFonts w:hint="eastAsia"/>
          <w:b/>
          <w:sz w:val="28"/>
          <w:szCs w:val="28"/>
        </w:rPr>
        <w:t>。</w:t>
      </w:r>
      <w:r>
        <w:rPr>
          <w:rFonts w:hint="eastAsia"/>
          <w:sz w:val="28"/>
          <w:szCs w:val="28"/>
          <w:lang w:bidi="en-US"/>
        </w:rPr>
        <w:t>总体看来</w:t>
      </w:r>
      <w:r>
        <w:rPr>
          <w:sz w:val="28"/>
          <w:szCs w:val="28"/>
          <w:lang w:bidi="en-US"/>
        </w:rPr>
        <w:t>，</w:t>
      </w:r>
      <w:r>
        <w:rPr>
          <w:rFonts w:hint="eastAsia"/>
          <w:sz w:val="28"/>
          <w:szCs w:val="28"/>
        </w:rPr>
        <w:t>规划实施主要</w:t>
      </w:r>
      <w:r>
        <w:rPr>
          <w:rFonts w:hint="eastAsia"/>
          <w:sz w:val="28"/>
          <w:szCs w:val="28"/>
          <w:lang w:bidi="en-US"/>
        </w:rPr>
        <w:t>包括在已形成陆域上开展码头的建设，以及港区内现有航道和锚地的维护性疏浚作业等</w:t>
      </w:r>
      <w:r>
        <w:rPr>
          <w:rFonts w:hint="eastAsia"/>
          <w:sz w:val="28"/>
          <w:szCs w:val="28"/>
        </w:rPr>
        <w:t>，对生态的影响因此施工对海域内鱼类的影响主要表现为</w:t>
      </w:r>
      <w:r>
        <w:rPr>
          <w:rFonts w:hint="eastAsia"/>
          <w:sz w:val="28"/>
          <w:szCs w:val="28"/>
          <w:lang w:bidi="en-US"/>
        </w:rPr>
        <w:t>施工期会造成水体扰动，</w:t>
      </w:r>
      <w:r>
        <w:rPr>
          <w:rFonts w:hint="eastAsia"/>
          <w:sz w:val="28"/>
          <w:szCs w:val="28"/>
        </w:rPr>
        <w:t>码头建设</w:t>
      </w:r>
      <w:r>
        <w:rPr>
          <w:sz w:val="28"/>
          <w:szCs w:val="28"/>
        </w:rPr>
        <w:t>、航道</w:t>
      </w:r>
      <w:r>
        <w:rPr>
          <w:rFonts w:hint="eastAsia"/>
          <w:sz w:val="28"/>
          <w:szCs w:val="28"/>
        </w:rPr>
        <w:t>和</w:t>
      </w:r>
      <w:r>
        <w:rPr>
          <w:sz w:val="28"/>
          <w:szCs w:val="28"/>
        </w:rPr>
        <w:t>锚地疏浚</w:t>
      </w:r>
      <w:r>
        <w:rPr>
          <w:rFonts w:hint="eastAsia"/>
          <w:sz w:val="28"/>
          <w:szCs w:val="28"/>
        </w:rPr>
        <w:t>工程引起</w:t>
      </w:r>
      <w:r>
        <w:rPr>
          <w:sz w:val="28"/>
          <w:szCs w:val="28"/>
        </w:rPr>
        <w:t>的悬浮物增加</w:t>
      </w:r>
      <w:r>
        <w:rPr>
          <w:rFonts w:hint="eastAsia"/>
          <w:sz w:val="28"/>
          <w:szCs w:val="28"/>
        </w:rPr>
        <w:t>会使局部水质恶化，对周边水生态产生严重不利影响，但仅</w:t>
      </w:r>
      <w:r>
        <w:rPr>
          <w:sz w:val="28"/>
          <w:szCs w:val="28"/>
        </w:rPr>
        <w:t>局限在</w:t>
      </w:r>
      <w:r>
        <w:rPr>
          <w:rFonts w:hint="eastAsia"/>
          <w:sz w:val="28"/>
          <w:szCs w:val="28"/>
        </w:rPr>
        <w:t>作业</w:t>
      </w:r>
      <w:r>
        <w:rPr>
          <w:sz w:val="28"/>
          <w:szCs w:val="28"/>
        </w:rPr>
        <w:t>点附近，</w:t>
      </w:r>
      <w:r>
        <w:rPr>
          <w:rFonts w:hint="eastAsia"/>
          <w:sz w:val="28"/>
          <w:szCs w:val="28"/>
        </w:rPr>
        <w:t>通常不会影响1km以外的范围；</w:t>
      </w:r>
      <w:r>
        <w:rPr>
          <w:sz w:val="28"/>
          <w:szCs w:val="28"/>
        </w:rPr>
        <w:t>并且此类影响是暂时的，随施工期的结束而消失</w:t>
      </w:r>
      <w:r>
        <w:rPr>
          <w:rFonts w:hint="eastAsia"/>
          <w:sz w:val="28"/>
          <w:szCs w:val="28"/>
        </w:rPr>
        <w:t>。</w:t>
      </w:r>
      <w:r>
        <w:rPr>
          <w:sz w:val="28"/>
          <w:szCs w:val="28"/>
        </w:rPr>
        <w:t>秦皇岛港施工期挖掘、抛泥、水工构筑物修筑等工程活动将导致水体中的悬浮物增加，造成浮游生物减少和底栖生物损失。鱼类受施工期悬浮物影响较小，但水体悬浮泥沙含量增大将影响鱼卵和仔稚鱼发育。</w:t>
      </w:r>
      <w:r>
        <w:rPr>
          <w:rFonts w:hint="eastAsia"/>
          <w:sz w:val="28"/>
          <w:szCs w:val="28"/>
        </w:rPr>
        <w:t>秦皇岛港</w:t>
      </w:r>
      <w:r>
        <w:rPr>
          <w:sz w:val="28"/>
          <w:szCs w:val="28"/>
        </w:rPr>
        <w:t>港</w:t>
      </w:r>
      <w:r>
        <w:rPr>
          <w:rFonts w:hint="eastAsia"/>
          <w:sz w:val="28"/>
          <w:szCs w:val="28"/>
        </w:rPr>
        <w:t>规划实施后，</w:t>
      </w:r>
      <w:r>
        <w:rPr>
          <w:sz w:val="28"/>
          <w:szCs w:val="28"/>
        </w:rPr>
        <w:t>航道</w:t>
      </w:r>
      <w:r>
        <w:rPr>
          <w:rFonts w:hint="eastAsia"/>
          <w:sz w:val="28"/>
          <w:szCs w:val="28"/>
        </w:rPr>
        <w:t>疏浚的最大面积约947hm</w:t>
      </w:r>
      <w:r>
        <w:rPr>
          <w:rFonts w:hint="eastAsia"/>
          <w:sz w:val="28"/>
          <w:szCs w:val="28"/>
          <w:vertAlign w:val="superscript"/>
        </w:rPr>
        <w:t>2</w:t>
      </w:r>
      <w:r>
        <w:rPr>
          <w:rFonts w:hint="eastAsia"/>
          <w:sz w:val="28"/>
          <w:szCs w:val="28"/>
        </w:rPr>
        <w:t>，将</w:t>
      </w:r>
      <w:r>
        <w:rPr>
          <w:sz w:val="28"/>
          <w:szCs w:val="28"/>
        </w:rPr>
        <w:t>造成海洋生物资源损失</w:t>
      </w:r>
      <w:r>
        <w:rPr>
          <w:rFonts w:hint="eastAsia"/>
          <w:sz w:val="28"/>
          <w:szCs w:val="28"/>
        </w:rPr>
        <w:t>242.73吨</w:t>
      </w:r>
      <w:r>
        <w:rPr>
          <w:sz w:val="28"/>
          <w:szCs w:val="28"/>
        </w:rPr>
        <w:t>，</w:t>
      </w:r>
      <w:r>
        <w:rPr>
          <w:rFonts w:hint="eastAsia"/>
          <w:sz w:val="28"/>
          <w:szCs w:val="28"/>
        </w:rPr>
        <w:t>补偿总额不少于256.46万元。本次规划对鸟类的影响总体可控。</w:t>
      </w:r>
    </w:p>
    <w:p>
      <w:pPr>
        <w:pStyle w:val="21"/>
        <w:ind w:firstLine="560"/>
        <w:rPr>
          <w:sz w:val="28"/>
          <w:szCs w:val="28"/>
        </w:rPr>
      </w:pPr>
      <w:r>
        <w:rPr>
          <w:rFonts w:hint="eastAsia"/>
          <w:sz w:val="28"/>
          <w:szCs w:val="28"/>
        </w:rPr>
        <w:t>在生态敏感目标影响方面，秦皇岛港规划范围未占用生态敏感目标，从位置关系上来看西锚地紧邻北戴河国家级海洋公园等生态敏感目标，山海关进港航道紧邻山海关风景旅游区，港口运营对旅游区的影响较弱。</w:t>
      </w:r>
    </w:p>
    <w:p>
      <w:pPr>
        <w:pStyle w:val="16"/>
        <w:spacing w:before="120" w:after="120"/>
        <w:rPr>
          <w:rFonts w:eastAsia="宋体"/>
          <w:color w:val="333333"/>
          <w:shd w:val="clear" w:color="auto" w:fill="FFFFFF"/>
        </w:rPr>
      </w:pPr>
      <w:r>
        <w:rPr>
          <w:rFonts w:hint="eastAsia" w:eastAsia="宋体"/>
        </w:rPr>
        <w:t>3、</w:t>
      </w:r>
      <w:r>
        <w:rPr>
          <w:rFonts w:hint="eastAsia"/>
        </w:rPr>
        <w:t>大气</w:t>
      </w:r>
      <w:r>
        <w:t>环境影响评价</w:t>
      </w:r>
      <w:r>
        <w:rPr>
          <w:rFonts w:hint="eastAsia"/>
        </w:rPr>
        <w:t>结论</w:t>
      </w:r>
    </w:p>
    <w:p>
      <w:pPr>
        <w:snapToGrid w:val="0"/>
        <w:spacing w:line="360" w:lineRule="auto"/>
        <w:ind w:firstLine="560" w:firstLineChars="200"/>
        <w:rPr>
          <w:rFonts w:ascii="Times New Roman" w:hAnsi="Times New Roman"/>
          <w:sz w:val="28"/>
          <w:szCs w:val="28"/>
          <w:lang w:val="zh-CN"/>
        </w:rPr>
      </w:pPr>
      <w:r>
        <w:rPr>
          <w:rFonts w:ascii="Times New Roman" w:hAnsi="Times New Roman"/>
          <w:sz w:val="28"/>
          <w:szCs w:val="28"/>
        </w:rPr>
        <w:t>规划实施后，</w:t>
      </w:r>
      <w:r>
        <w:rPr>
          <w:rFonts w:hint="eastAsia" w:ascii="Times New Roman" w:hAnsi="Times New Roman"/>
          <w:sz w:val="28"/>
          <w:szCs w:val="28"/>
        </w:rPr>
        <w:t>秦皇岛港</w:t>
      </w:r>
      <w:r>
        <w:rPr>
          <w:rFonts w:ascii="Times New Roman" w:hAnsi="Times New Roman"/>
          <w:sz w:val="28"/>
          <w:szCs w:val="28"/>
        </w:rPr>
        <w:t>各港区港界TSP、PM</w:t>
      </w:r>
      <w:r>
        <w:rPr>
          <w:rFonts w:ascii="Times New Roman" w:hAnsi="Times New Roman"/>
          <w:sz w:val="28"/>
          <w:szCs w:val="28"/>
          <w:vertAlign w:val="subscript"/>
        </w:rPr>
        <w:t>10</w:t>
      </w:r>
      <w:r>
        <w:rPr>
          <w:rFonts w:ascii="Times New Roman" w:hAnsi="Times New Roman"/>
          <w:sz w:val="28"/>
          <w:szCs w:val="28"/>
        </w:rPr>
        <w:t>、PM</w:t>
      </w:r>
      <w:r>
        <w:rPr>
          <w:rFonts w:ascii="Times New Roman" w:hAnsi="Times New Roman"/>
          <w:sz w:val="28"/>
          <w:szCs w:val="28"/>
          <w:vertAlign w:val="subscript"/>
        </w:rPr>
        <w:t>2.5</w:t>
      </w:r>
      <w:r>
        <w:rPr>
          <w:rFonts w:ascii="Times New Roman" w:hAnsi="Times New Roman"/>
          <w:sz w:val="28"/>
          <w:szCs w:val="28"/>
        </w:rPr>
        <w:t>日均最大落地浓度分别为</w:t>
      </w:r>
      <w:r>
        <w:rPr>
          <w:rFonts w:hint="eastAsia" w:ascii="Times New Roman" w:hAnsi="Times New Roman"/>
          <w:sz w:val="28"/>
          <w:szCs w:val="28"/>
        </w:rPr>
        <w:t>65.07</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39.03</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23.43</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，占标率分别为</w:t>
      </w:r>
      <w:r>
        <w:rPr>
          <w:rFonts w:hint="eastAsia" w:ascii="Times New Roman" w:hAnsi="Times New Roman"/>
          <w:sz w:val="28"/>
          <w:szCs w:val="28"/>
        </w:rPr>
        <w:t>21.69</w:t>
      </w:r>
      <w:r>
        <w:rPr>
          <w:rFonts w:ascii="Times New Roman" w:hAnsi="Times New Roman"/>
          <w:sz w:val="28"/>
          <w:szCs w:val="28"/>
          <w:lang w:val="zh-CN"/>
        </w:rPr>
        <w:t>%、</w:t>
      </w:r>
      <w:r>
        <w:rPr>
          <w:rFonts w:hint="eastAsia" w:ascii="Times New Roman" w:hAnsi="Times New Roman"/>
          <w:sz w:val="28"/>
          <w:szCs w:val="28"/>
        </w:rPr>
        <w:t>26.02</w:t>
      </w:r>
      <w:r>
        <w:rPr>
          <w:rFonts w:ascii="Times New Roman" w:hAnsi="Times New Roman"/>
          <w:sz w:val="28"/>
          <w:szCs w:val="28"/>
          <w:lang w:val="zh-CN"/>
        </w:rPr>
        <w:t>%、</w:t>
      </w:r>
      <w:r>
        <w:rPr>
          <w:rFonts w:hint="eastAsia" w:ascii="Times New Roman" w:hAnsi="Times New Roman"/>
          <w:sz w:val="28"/>
          <w:szCs w:val="28"/>
        </w:rPr>
        <w:t>31.24</w:t>
      </w:r>
      <w:r>
        <w:rPr>
          <w:rFonts w:ascii="Times New Roman" w:hAnsi="Times New Roman"/>
          <w:sz w:val="28"/>
          <w:szCs w:val="28"/>
          <w:lang w:val="zh-CN"/>
        </w:rPr>
        <w:t>%；TSP、PM</w:t>
      </w:r>
      <w:r>
        <w:rPr>
          <w:rFonts w:ascii="Times New Roman" w:hAnsi="Times New Roman"/>
          <w:sz w:val="28"/>
          <w:szCs w:val="28"/>
          <w:vertAlign w:val="subscript"/>
          <w:lang w:val="zh-CN"/>
        </w:rPr>
        <w:t>10</w:t>
      </w:r>
      <w:r>
        <w:rPr>
          <w:rFonts w:ascii="Times New Roman" w:hAnsi="Times New Roman"/>
          <w:sz w:val="28"/>
          <w:szCs w:val="28"/>
          <w:lang w:val="zh-CN"/>
        </w:rPr>
        <w:t>、PM</w:t>
      </w:r>
      <w:r>
        <w:rPr>
          <w:rFonts w:ascii="Times New Roman" w:hAnsi="Times New Roman"/>
          <w:sz w:val="28"/>
          <w:szCs w:val="28"/>
          <w:vertAlign w:val="subscript"/>
          <w:lang w:val="zh-CN"/>
        </w:rPr>
        <w:t>2.5</w:t>
      </w:r>
      <w:r>
        <w:rPr>
          <w:rFonts w:ascii="Times New Roman" w:hAnsi="Times New Roman"/>
          <w:sz w:val="28"/>
          <w:szCs w:val="28"/>
          <w:lang w:val="zh-CN"/>
        </w:rPr>
        <w:t>年均最大落地浓度分别为</w:t>
      </w:r>
      <w:r>
        <w:rPr>
          <w:rFonts w:hint="eastAsia" w:ascii="Times New Roman" w:hAnsi="Times New Roman"/>
          <w:sz w:val="28"/>
          <w:szCs w:val="28"/>
        </w:rPr>
        <w:t>5.29</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3.17</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1.09</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，占标率分别为</w:t>
      </w:r>
      <w:r>
        <w:rPr>
          <w:rFonts w:hint="eastAsia" w:ascii="Times New Roman" w:hAnsi="Times New Roman"/>
          <w:sz w:val="28"/>
          <w:szCs w:val="28"/>
        </w:rPr>
        <w:t>2.64</w:t>
      </w:r>
      <w:r>
        <w:rPr>
          <w:rFonts w:ascii="Times New Roman" w:hAnsi="Times New Roman"/>
          <w:sz w:val="28"/>
          <w:szCs w:val="28"/>
          <w:lang w:val="zh-CN"/>
        </w:rPr>
        <w:t>%、</w:t>
      </w:r>
      <w:r>
        <w:rPr>
          <w:rFonts w:hint="eastAsia" w:ascii="Times New Roman" w:hAnsi="Times New Roman"/>
          <w:sz w:val="28"/>
          <w:szCs w:val="28"/>
        </w:rPr>
        <w:t>4.53</w:t>
      </w:r>
      <w:r>
        <w:rPr>
          <w:rFonts w:ascii="Times New Roman" w:hAnsi="Times New Roman"/>
          <w:sz w:val="28"/>
          <w:szCs w:val="28"/>
          <w:lang w:val="zh-CN"/>
        </w:rPr>
        <w:t>%、</w:t>
      </w:r>
      <w:r>
        <w:rPr>
          <w:rFonts w:hint="eastAsia" w:ascii="Times New Roman" w:hAnsi="Times New Roman"/>
          <w:sz w:val="28"/>
          <w:szCs w:val="28"/>
        </w:rPr>
        <w:t>5.44</w:t>
      </w:r>
      <w:r>
        <w:rPr>
          <w:rFonts w:ascii="Times New Roman" w:hAnsi="Times New Roman"/>
          <w:sz w:val="28"/>
          <w:szCs w:val="28"/>
          <w:lang w:val="zh-CN"/>
        </w:rPr>
        <w:t>%，位于</w:t>
      </w:r>
      <w:r>
        <w:rPr>
          <w:rFonts w:hint="eastAsia" w:ascii="Times New Roman" w:hAnsi="Times New Roman"/>
          <w:sz w:val="28"/>
          <w:szCs w:val="28"/>
          <w:lang w:val="zh-CN"/>
        </w:rPr>
        <w:t>山海关</w:t>
      </w:r>
      <w:r>
        <w:rPr>
          <w:rFonts w:ascii="Times New Roman" w:hAnsi="Times New Roman"/>
          <w:sz w:val="28"/>
          <w:szCs w:val="28"/>
          <w:lang w:val="zh-CN"/>
        </w:rPr>
        <w:t>港区。</w:t>
      </w:r>
      <w:r>
        <w:rPr>
          <w:rFonts w:ascii="Times New Roman" w:hAnsi="Times New Roman"/>
          <w:sz w:val="28"/>
          <w:szCs w:val="28"/>
        </w:rPr>
        <w:t>叠加区域背景浓度后，</w:t>
      </w:r>
      <w:r>
        <w:rPr>
          <w:rFonts w:ascii="Times New Roman" w:hAnsi="Times New Roman"/>
          <w:sz w:val="28"/>
          <w:szCs w:val="28"/>
          <w:lang w:val="zh-CN"/>
        </w:rPr>
        <w:t>港界TSP、PM</w:t>
      </w:r>
      <w:r>
        <w:rPr>
          <w:rFonts w:ascii="Times New Roman" w:hAnsi="Times New Roman"/>
          <w:sz w:val="28"/>
          <w:szCs w:val="28"/>
          <w:vertAlign w:val="subscript"/>
          <w:lang w:val="zh-CN"/>
        </w:rPr>
        <w:t>10</w:t>
      </w:r>
      <w:r>
        <w:rPr>
          <w:rFonts w:ascii="Times New Roman" w:hAnsi="Times New Roman"/>
          <w:sz w:val="28"/>
          <w:szCs w:val="28"/>
          <w:lang w:val="zh-CN"/>
        </w:rPr>
        <w:t>、PM</w:t>
      </w:r>
      <w:r>
        <w:rPr>
          <w:rFonts w:ascii="Times New Roman" w:hAnsi="Times New Roman"/>
          <w:sz w:val="28"/>
          <w:szCs w:val="28"/>
          <w:vertAlign w:val="subscript"/>
          <w:lang w:val="zh-CN"/>
        </w:rPr>
        <w:t>2.5</w:t>
      </w:r>
      <w:r>
        <w:rPr>
          <w:rFonts w:ascii="Times New Roman" w:hAnsi="Times New Roman"/>
          <w:sz w:val="28"/>
          <w:szCs w:val="28"/>
          <w:lang w:val="zh-CN"/>
        </w:rPr>
        <w:t xml:space="preserve"> 95%保证率日平均质量浓度分别为</w:t>
      </w:r>
      <w:r>
        <w:rPr>
          <w:rFonts w:hint="eastAsia" w:ascii="Times New Roman" w:hAnsi="Times New Roman"/>
          <w:sz w:val="28"/>
          <w:szCs w:val="28"/>
        </w:rPr>
        <w:t>177.07</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95.03</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50.43</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，占标率分别为</w:t>
      </w:r>
      <w:r>
        <w:rPr>
          <w:rFonts w:hint="eastAsia" w:ascii="Times New Roman" w:hAnsi="Times New Roman"/>
          <w:sz w:val="28"/>
          <w:szCs w:val="28"/>
        </w:rPr>
        <w:t>59.02</w:t>
      </w:r>
      <w:r>
        <w:rPr>
          <w:rFonts w:ascii="Times New Roman" w:hAnsi="Times New Roman"/>
          <w:sz w:val="28"/>
          <w:szCs w:val="28"/>
          <w:lang w:val="zh-CN"/>
        </w:rPr>
        <w:t>%、</w:t>
      </w:r>
      <w:r>
        <w:rPr>
          <w:rFonts w:hint="eastAsia" w:ascii="Times New Roman" w:hAnsi="Times New Roman"/>
          <w:sz w:val="28"/>
          <w:szCs w:val="28"/>
        </w:rPr>
        <w:t>63.36</w:t>
      </w:r>
      <w:r>
        <w:rPr>
          <w:rFonts w:ascii="Times New Roman" w:hAnsi="Times New Roman"/>
          <w:sz w:val="28"/>
          <w:szCs w:val="28"/>
          <w:lang w:val="zh-CN"/>
        </w:rPr>
        <w:t>%、</w:t>
      </w:r>
      <w:r>
        <w:rPr>
          <w:rFonts w:hint="eastAsia" w:ascii="Times New Roman" w:hAnsi="Times New Roman"/>
          <w:sz w:val="28"/>
          <w:szCs w:val="28"/>
        </w:rPr>
        <w:t>67.24</w:t>
      </w:r>
      <w:r>
        <w:rPr>
          <w:rFonts w:ascii="Times New Roman" w:hAnsi="Times New Roman"/>
          <w:sz w:val="28"/>
          <w:szCs w:val="28"/>
          <w:lang w:val="zh-CN"/>
        </w:rPr>
        <w:t>%；TSP、PM</w:t>
      </w:r>
      <w:r>
        <w:rPr>
          <w:rFonts w:ascii="Times New Roman" w:hAnsi="Times New Roman"/>
          <w:sz w:val="28"/>
          <w:szCs w:val="28"/>
          <w:vertAlign w:val="subscript"/>
          <w:lang w:val="zh-CN"/>
        </w:rPr>
        <w:t>10</w:t>
      </w:r>
      <w:r>
        <w:rPr>
          <w:rFonts w:ascii="Times New Roman" w:hAnsi="Times New Roman"/>
          <w:sz w:val="28"/>
          <w:szCs w:val="28"/>
          <w:lang w:val="zh-CN"/>
        </w:rPr>
        <w:t>、PM</w:t>
      </w:r>
      <w:r>
        <w:rPr>
          <w:rFonts w:ascii="Times New Roman" w:hAnsi="Times New Roman"/>
          <w:sz w:val="28"/>
          <w:szCs w:val="28"/>
          <w:vertAlign w:val="subscript"/>
          <w:lang w:val="zh-CN"/>
        </w:rPr>
        <w:t>2.5</w:t>
      </w:r>
      <w:r>
        <w:rPr>
          <w:rFonts w:ascii="Times New Roman" w:hAnsi="Times New Roman"/>
          <w:sz w:val="28"/>
          <w:szCs w:val="28"/>
          <w:lang w:val="zh-CN"/>
        </w:rPr>
        <w:t>年均浓度分别为</w:t>
      </w:r>
      <w:r>
        <w:rPr>
          <w:rFonts w:hint="eastAsia" w:ascii="Times New Roman" w:hAnsi="Times New Roman"/>
          <w:sz w:val="28"/>
          <w:szCs w:val="28"/>
        </w:rPr>
        <w:t>117.29</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59.17</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w:t>
      </w:r>
      <w:r>
        <w:rPr>
          <w:rFonts w:hint="eastAsia" w:ascii="Times New Roman" w:hAnsi="Times New Roman"/>
          <w:sz w:val="28"/>
          <w:szCs w:val="28"/>
        </w:rPr>
        <w:t>28.90</w:t>
      </w:r>
      <w:r>
        <w:rPr>
          <w:rFonts w:ascii="Times New Roman" w:hAnsi="Times New Roman"/>
          <w:sz w:val="28"/>
          <w:szCs w:val="28"/>
          <w:lang w:val="zh-CN"/>
        </w:rPr>
        <w:t>μg/m</w:t>
      </w:r>
      <w:r>
        <w:rPr>
          <w:rFonts w:ascii="Times New Roman" w:hAnsi="Times New Roman"/>
          <w:sz w:val="28"/>
          <w:szCs w:val="28"/>
          <w:vertAlign w:val="superscript"/>
          <w:lang w:val="zh-CN"/>
        </w:rPr>
        <w:t>3</w:t>
      </w:r>
      <w:r>
        <w:rPr>
          <w:rFonts w:ascii="Times New Roman" w:hAnsi="Times New Roman"/>
          <w:sz w:val="28"/>
          <w:szCs w:val="28"/>
          <w:lang w:val="zh-CN"/>
        </w:rPr>
        <w:t>，占标率分别为</w:t>
      </w:r>
      <w:r>
        <w:rPr>
          <w:rFonts w:hint="eastAsia" w:ascii="Times New Roman" w:hAnsi="Times New Roman"/>
          <w:sz w:val="28"/>
          <w:szCs w:val="28"/>
        </w:rPr>
        <w:t>58.64</w:t>
      </w:r>
      <w:r>
        <w:rPr>
          <w:rFonts w:ascii="Times New Roman" w:hAnsi="Times New Roman"/>
          <w:sz w:val="28"/>
          <w:szCs w:val="28"/>
          <w:lang w:val="zh-CN"/>
        </w:rPr>
        <w:t>%、</w:t>
      </w:r>
      <w:r>
        <w:rPr>
          <w:rFonts w:hint="eastAsia" w:ascii="Times New Roman" w:hAnsi="Times New Roman"/>
          <w:sz w:val="28"/>
          <w:szCs w:val="28"/>
        </w:rPr>
        <w:t>84.53</w:t>
      </w:r>
      <w:r>
        <w:rPr>
          <w:rFonts w:ascii="Times New Roman" w:hAnsi="Times New Roman"/>
          <w:sz w:val="28"/>
          <w:szCs w:val="28"/>
          <w:lang w:val="zh-CN"/>
        </w:rPr>
        <w:t>%、</w:t>
      </w:r>
      <w:r>
        <w:rPr>
          <w:rFonts w:hint="eastAsia" w:ascii="Times New Roman" w:hAnsi="Times New Roman"/>
          <w:sz w:val="28"/>
          <w:szCs w:val="28"/>
        </w:rPr>
        <w:t>82.58</w:t>
      </w:r>
      <w:r>
        <w:rPr>
          <w:rFonts w:ascii="Times New Roman" w:hAnsi="Times New Roman"/>
          <w:sz w:val="28"/>
          <w:szCs w:val="28"/>
          <w:lang w:val="zh-CN"/>
        </w:rPr>
        <w:t>%。各敏感目标TSP、PM</w:t>
      </w:r>
      <w:r>
        <w:rPr>
          <w:rFonts w:ascii="Times New Roman" w:hAnsi="Times New Roman"/>
          <w:sz w:val="28"/>
          <w:szCs w:val="28"/>
          <w:vertAlign w:val="subscript"/>
          <w:lang w:val="zh-CN"/>
        </w:rPr>
        <w:t>10</w:t>
      </w:r>
      <w:r>
        <w:rPr>
          <w:rFonts w:ascii="Times New Roman" w:hAnsi="Times New Roman"/>
          <w:sz w:val="28"/>
          <w:szCs w:val="28"/>
          <w:lang w:val="zh-CN"/>
        </w:rPr>
        <w:t>、PM</w:t>
      </w:r>
      <w:r>
        <w:rPr>
          <w:rFonts w:ascii="Times New Roman" w:hAnsi="Times New Roman"/>
          <w:sz w:val="28"/>
          <w:szCs w:val="28"/>
          <w:vertAlign w:val="subscript"/>
          <w:lang w:val="zh-CN"/>
        </w:rPr>
        <w:t>2.5</w:t>
      </w:r>
      <w:r>
        <w:rPr>
          <w:rFonts w:ascii="Times New Roman" w:hAnsi="Times New Roman"/>
          <w:sz w:val="28"/>
          <w:szCs w:val="28"/>
          <w:lang w:val="zh-CN"/>
        </w:rPr>
        <w:t>浓度贡献值及叠加值均较小。评价区域TSP、PM10、PM2.5日均、年均浓度贡献值和叠加值均能满足《环境空气质量标准》（GB3095-2012）中的浓度限值要求。总体而言，在除尘效率85%以上的情况下，港区干散货堆放及装卸作业造成的粉尘污染的影响范围和影响程度较小。</w:t>
      </w:r>
    </w:p>
    <w:p>
      <w:pPr>
        <w:snapToGrid w:val="0"/>
        <w:spacing w:line="360" w:lineRule="auto"/>
        <w:ind w:firstLine="560" w:firstLineChars="200"/>
        <w:rPr>
          <w:rFonts w:ascii="Times New Roman" w:hAnsi="Times New Roman"/>
          <w:sz w:val="28"/>
          <w:szCs w:val="28"/>
          <w:lang w:val="zh-CN"/>
        </w:rPr>
      </w:pPr>
      <w:r>
        <w:rPr>
          <w:rFonts w:ascii="Times New Roman" w:hAnsi="Times New Roman"/>
          <w:sz w:val="28"/>
          <w:szCs w:val="28"/>
          <w:lang w:val="zh-CN"/>
        </w:rPr>
        <w:t>2035年</w:t>
      </w:r>
      <w:r>
        <w:rPr>
          <w:rFonts w:hint="eastAsia" w:ascii="Times New Roman" w:hAnsi="Times New Roman"/>
          <w:sz w:val="28"/>
          <w:szCs w:val="28"/>
          <w:lang w:val="zh-CN"/>
        </w:rPr>
        <w:t>秦皇岛港</w:t>
      </w:r>
      <w:r>
        <w:rPr>
          <w:rFonts w:ascii="Times New Roman" w:hAnsi="Times New Roman"/>
          <w:sz w:val="28"/>
          <w:szCs w:val="28"/>
          <w:lang w:val="zh-CN"/>
        </w:rPr>
        <w:t>石油及制品的吞吐量为</w:t>
      </w:r>
      <w:r>
        <w:rPr>
          <w:rFonts w:hint="eastAsia" w:ascii="Times New Roman" w:hAnsi="Times New Roman"/>
          <w:sz w:val="28"/>
          <w:szCs w:val="28"/>
        </w:rPr>
        <w:t>500</w:t>
      </w:r>
      <w:r>
        <w:rPr>
          <w:rFonts w:ascii="Times New Roman" w:hAnsi="Times New Roman"/>
          <w:sz w:val="28"/>
          <w:szCs w:val="28"/>
          <w:lang w:val="zh-CN"/>
        </w:rPr>
        <w:t>万吨。</w:t>
      </w:r>
      <w:r>
        <w:rPr>
          <w:rFonts w:hint="eastAsia" w:ascii="Times New Roman" w:hAnsi="Times New Roman"/>
          <w:sz w:val="28"/>
          <w:szCs w:val="28"/>
          <w:lang w:val="zh-CN"/>
        </w:rPr>
        <w:t>港界TVOC 的8小时最大落地浓度为</w:t>
      </w:r>
      <w:r>
        <w:rPr>
          <w:rFonts w:hint="eastAsia" w:ascii="Times New Roman" w:hAnsi="Times New Roman"/>
          <w:sz w:val="28"/>
          <w:szCs w:val="28"/>
        </w:rPr>
        <w:t>1.76</w:t>
      </w:r>
      <w:r>
        <w:rPr>
          <w:rFonts w:ascii="Times New Roman" w:hAnsi="Times New Roman"/>
          <w:sz w:val="28"/>
          <w:szCs w:val="28"/>
          <w:lang w:val="zh-CN"/>
        </w:rPr>
        <w:t>μg/m</w:t>
      </w:r>
      <w:r>
        <w:rPr>
          <w:rFonts w:ascii="Times New Roman" w:hAnsi="Times New Roman"/>
          <w:sz w:val="28"/>
          <w:szCs w:val="28"/>
          <w:vertAlign w:val="superscript"/>
          <w:lang w:val="zh-CN"/>
        </w:rPr>
        <w:t>3</w:t>
      </w:r>
      <w:r>
        <w:rPr>
          <w:rFonts w:hint="eastAsia" w:ascii="Times New Roman" w:hAnsi="Times New Roman"/>
          <w:sz w:val="28"/>
          <w:szCs w:val="28"/>
          <w:lang w:val="zh-CN"/>
        </w:rPr>
        <w:t>，占标率为</w:t>
      </w:r>
      <w:r>
        <w:rPr>
          <w:rFonts w:hint="eastAsia" w:ascii="Times New Roman" w:hAnsi="Times New Roman"/>
          <w:sz w:val="28"/>
          <w:szCs w:val="28"/>
        </w:rPr>
        <w:t>0.29</w:t>
      </w:r>
      <w:r>
        <w:rPr>
          <w:rFonts w:ascii="Times New Roman" w:hAnsi="Times New Roman"/>
          <w:sz w:val="28"/>
          <w:szCs w:val="28"/>
          <w:lang w:val="zh-CN"/>
        </w:rPr>
        <w:t>%</w:t>
      </w:r>
      <w:r>
        <w:rPr>
          <w:rFonts w:hint="eastAsia" w:ascii="Times New Roman" w:hAnsi="Times New Roman"/>
          <w:sz w:val="28"/>
          <w:szCs w:val="28"/>
          <w:lang w:val="zh-CN"/>
        </w:rPr>
        <w:t>。港区</w:t>
      </w:r>
      <w:r>
        <w:rPr>
          <w:rFonts w:ascii="Times New Roman" w:hAnsi="Times New Roman"/>
          <w:sz w:val="28"/>
          <w:szCs w:val="28"/>
          <w:lang w:val="zh-CN"/>
        </w:rPr>
        <w:t>评价区域TVOC的8小时最大浓度</w:t>
      </w:r>
      <w:r>
        <w:rPr>
          <w:rFonts w:hint="eastAsia" w:ascii="Times New Roman" w:hAnsi="Times New Roman"/>
          <w:sz w:val="28"/>
          <w:szCs w:val="28"/>
          <w:lang w:val="zh-CN"/>
        </w:rPr>
        <w:t>均可</w:t>
      </w:r>
      <w:r>
        <w:rPr>
          <w:rFonts w:ascii="Times New Roman" w:hAnsi="Times New Roman"/>
          <w:sz w:val="28"/>
          <w:szCs w:val="28"/>
          <w:lang w:val="zh-CN"/>
        </w:rPr>
        <w:t>满足《环境影响评价技术导则 大气环境》附录D中8小时平均浓度限值0.6mg/m</w:t>
      </w:r>
      <w:r>
        <w:rPr>
          <w:rFonts w:ascii="Times New Roman" w:hAnsi="Times New Roman"/>
          <w:sz w:val="28"/>
          <w:szCs w:val="28"/>
          <w:vertAlign w:val="superscript"/>
          <w:lang w:val="zh-CN"/>
        </w:rPr>
        <w:t>3</w:t>
      </w:r>
      <w:r>
        <w:rPr>
          <w:rFonts w:hint="eastAsia" w:ascii="Times New Roman" w:hAnsi="Times New Roman"/>
          <w:sz w:val="28"/>
          <w:szCs w:val="28"/>
          <w:lang w:val="zh-CN"/>
        </w:rPr>
        <w:t>的要求</w:t>
      </w:r>
      <w:r>
        <w:rPr>
          <w:rFonts w:ascii="Times New Roman" w:hAnsi="Times New Roman"/>
          <w:sz w:val="28"/>
          <w:szCs w:val="28"/>
          <w:lang w:val="zh-CN"/>
        </w:rPr>
        <w:t>。</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根据《交通运输部关于印发船舶大气污染物排放控制区实施方案的通知》（交海发〔2018〕168号）燃油要求，</w:t>
      </w:r>
      <w:r>
        <w:rPr>
          <w:rFonts w:hint="eastAsia" w:ascii="Times New Roman" w:hAnsi="Times New Roman"/>
          <w:sz w:val="28"/>
          <w:szCs w:val="28"/>
          <w:lang w:val="zh-CN"/>
        </w:rPr>
        <w:t>2035年秦皇岛港船舶</w:t>
      </w:r>
      <w:r>
        <w:rPr>
          <w:rFonts w:ascii="Times New Roman" w:hAnsi="Times New Roman"/>
          <w:sz w:val="28"/>
          <w:szCs w:val="28"/>
          <w:lang w:val="zh-CN"/>
        </w:rPr>
        <w:t>SO</w:t>
      </w:r>
      <w:r>
        <w:rPr>
          <w:rFonts w:ascii="Times New Roman" w:hAnsi="Times New Roman"/>
          <w:sz w:val="28"/>
          <w:szCs w:val="28"/>
          <w:vertAlign w:val="subscript"/>
          <w:lang w:val="zh-CN"/>
        </w:rPr>
        <w:t>2</w:t>
      </w:r>
      <w:r>
        <w:rPr>
          <w:rFonts w:ascii="Times New Roman" w:hAnsi="Times New Roman"/>
          <w:sz w:val="28"/>
          <w:szCs w:val="28"/>
          <w:lang w:val="zh-CN"/>
        </w:rPr>
        <w:t>、NOx、PM</w:t>
      </w:r>
      <w:r>
        <w:rPr>
          <w:rFonts w:ascii="Times New Roman" w:hAnsi="Times New Roman"/>
          <w:sz w:val="28"/>
          <w:szCs w:val="28"/>
          <w:vertAlign w:val="subscript"/>
          <w:lang w:val="zh-CN"/>
        </w:rPr>
        <w:t>10</w:t>
      </w:r>
      <w:r>
        <w:rPr>
          <w:rFonts w:ascii="Times New Roman" w:hAnsi="Times New Roman"/>
          <w:sz w:val="28"/>
          <w:szCs w:val="28"/>
          <w:lang w:val="zh-CN"/>
        </w:rPr>
        <w:t>、PM</w:t>
      </w:r>
      <w:r>
        <w:rPr>
          <w:rFonts w:ascii="Times New Roman" w:hAnsi="Times New Roman"/>
          <w:sz w:val="28"/>
          <w:szCs w:val="28"/>
          <w:vertAlign w:val="subscript"/>
          <w:lang w:val="zh-CN"/>
        </w:rPr>
        <w:t>2.5</w:t>
      </w:r>
      <w:r>
        <w:rPr>
          <w:rFonts w:ascii="Times New Roman" w:hAnsi="Times New Roman"/>
          <w:sz w:val="28"/>
          <w:szCs w:val="28"/>
          <w:lang w:val="zh-CN"/>
        </w:rPr>
        <w:t>、HC排放</w:t>
      </w:r>
      <w:r>
        <w:rPr>
          <w:rFonts w:hint="eastAsia" w:ascii="Times New Roman" w:hAnsi="Times New Roman"/>
          <w:sz w:val="28"/>
          <w:szCs w:val="28"/>
          <w:lang w:val="zh-CN"/>
        </w:rPr>
        <w:t>总</w:t>
      </w:r>
      <w:r>
        <w:rPr>
          <w:rFonts w:ascii="Times New Roman" w:hAnsi="Times New Roman"/>
          <w:sz w:val="28"/>
          <w:szCs w:val="28"/>
          <w:lang w:val="zh-CN"/>
        </w:rPr>
        <w:t>量分别</w:t>
      </w:r>
      <w:r>
        <w:rPr>
          <w:rFonts w:hint="eastAsia" w:ascii="Times New Roman" w:hAnsi="Times New Roman"/>
          <w:sz w:val="28"/>
          <w:szCs w:val="28"/>
          <w:lang w:val="zh-CN"/>
        </w:rPr>
        <w:t>为</w:t>
      </w:r>
      <w:r>
        <w:rPr>
          <w:rFonts w:hint="eastAsia" w:ascii="Times New Roman" w:hAnsi="Times New Roman"/>
          <w:sz w:val="28"/>
          <w:szCs w:val="28"/>
        </w:rPr>
        <w:t>389.4</w:t>
      </w:r>
      <w:r>
        <w:rPr>
          <w:rFonts w:ascii="Times New Roman" w:hAnsi="Times New Roman"/>
          <w:sz w:val="28"/>
          <w:szCs w:val="28"/>
          <w:lang w:val="zh-CN"/>
        </w:rPr>
        <w:t>吨、</w:t>
      </w:r>
      <w:r>
        <w:rPr>
          <w:rFonts w:hint="eastAsia" w:ascii="Times New Roman" w:hAnsi="Times New Roman"/>
          <w:sz w:val="28"/>
          <w:szCs w:val="28"/>
        </w:rPr>
        <w:t>1780.6</w:t>
      </w:r>
      <w:r>
        <w:rPr>
          <w:rFonts w:ascii="Times New Roman" w:hAnsi="Times New Roman"/>
          <w:sz w:val="28"/>
          <w:szCs w:val="28"/>
          <w:lang w:val="zh-CN"/>
        </w:rPr>
        <w:t>吨、</w:t>
      </w:r>
      <w:r>
        <w:rPr>
          <w:rFonts w:hint="eastAsia" w:ascii="Times New Roman" w:hAnsi="Times New Roman"/>
          <w:sz w:val="28"/>
          <w:szCs w:val="28"/>
        </w:rPr>
        <w:t>55.2</w:t>
      </w:r>
      <w:r>
        <w:rPr>
          <w:rFonts w:ascii="Times New Roman" w:hAnsi="Times New Roman"/>
          <w:sz w:val="28"/>
          <w:szCs w:val="28"/>
          <w:lang w:val="zh-CN"/>
        </w:rPr>
        <w:t>吨、</w:t>
      </w:r>
      <w:r>
        <w:rPr>
          <w:rFonts w:hint="eastAsia" w:ascii="Times New Roman" w:hAnsi="Times New Roman"/>
          <w:sz w:val="28"/>
          <w:szCs w:val="28"/>
        </w:rPr>
        <w:t>50.2</w:t>
      </w:r>
      <w:r>
        <w:rPr>
          <w:rFonts w:ascii="Times New Roman" w:hAnsi="Times New Roman"/>
          <w:sz w:val="28"/>
          <w:szCs w:val="28"/>
          <w:lang w:val="zh-CN"/>
        </w:rPr>
        <w:t>吨、</w:t>
      </w:r>
      <w:r>
        <w:rPr>
          <w:rFonts w:hint="eastAsia" w:ascii="Times New Roman" w:hAnsi="Times New Roman"/>
          <w:sz w:val="28"/>
          <w:szCs w:val="28"/>
        </w:rPr>
        <w:t>53.5</w:t>
      </w:r>
      <w:r>
        <w:rPr>
          <w:rFonts w:ascii="Times New Roman" w:hAnsi="Times New Roman"/>
          <w:sz w:val="28"/>
          <w:szCs w:val="28"/>
          <w:lang w:val="zh-CN"/>
        </w:rPr>
        <w:t>吨。</w:t>
      </w:r>
      <w:r>
        <w:rPr>
          <w:rFonts w:ascii="Times New Roman" w:hAnsi="Times New Roman"/>
          <w:sz w:val="28"/>
          <w:szCs w:val="28"/>
        </w:rPr>
        <w:t>根据《道路机动车大气污染物排放清单编制技术指南（试行）》推荐方法计算2035年集疏港的集疏运货车排放量，规划实施后，</w:t>
      </w:r>
      <w:r>
        <w:rPr>
          <w:rFonts w:hint="eastAsia" w:ascii="Times New Roman" w:hAnsi="Times New Roman"/>
          <w:sz w:val="28"/>
          <w:szCs w:val="28"/>
        </w:rPr>
        <w:t>秦皇岛港</w:t>
      </w:r>
      <w:r>
        <w:rPr>
          <w:rFonts w:ascii="Times New Roman" w:hAnsi="Times New Roman"/>
          <w:sz w:val="28"/>
          <w:szCs w:val="28"/>
        </w:rPr>
        <w:t>集疏运货车</w:t>
      </w:r>
      <w:r>
        <w:rPr>
          <w:rFonts w:ascii="Times New Roman" w:hAnsi="Times New Roman"/>
          <w:sz w:val="28"/>
          <w:szCs w:val="28"/>
          <w:lang w:val="zh-CN"/>
        </w:rPr>
        <w:t>CO、NO</w:t>
      </w:r>
      <w:r>
        <w:rPr>
          <w:rFonts w:ascii="Times New Roman" w:hAnsi="Times New Roman"/>
          <w:sz w:val="28"/>
          <w:szCs w:val="28"/>
          <w:vertAlign w:val="subscript"/>
          <w:lang w:val="zh-CN"/>
        </w:rPr>
        <w:t>X</w:t>
      </w:r>
      <w:r>
        <w:rPr>
          <w:rFonts w:ascii="Times New Roman" w:hAnsi="Times New Roman"/>
          <w:sz w:val="28"/>
          <w:szCs w:val="28"/>
          <w:lang w:val="zh-CN"/>
        </w:rPr>
        <w:t>、PM</w:t>
      </w:r>
      <w:r>
        <w:rPr>
          <w:rFonts w:ascii="Times New Roman" w:hAnsi="Times New Roman"/>
          <w:sz w:val="28"/>
          <w:szCs w:val="28"/>
          <w:vertAlign w:val="subscript"/>
          <w:lang w:val="zh-CN"/>
        </w:rPr>
        <w:t>10</w:t>
      </w:r>
      <w:r>
        <w:rPr>
          <w:rFonts w:ascii="Times New Roman" w:hAnsi="Times New Roman"/>
          <w:sz w:val="28"/>
          <w:szCs w:val="28"/>
          <w:lang w:val="zh-CN"/>
        </w:rPr>
        <w:t>、PM</w:t>
      </w:r>
      <w:r>
        <w:rPr>
          <w:rFonts w:ascii="Times New Roman" w:hAnsi="Times New Roman"/>
          <w:sz w:val="28"/>
          <w:szCs w:val="28"/>
          <w:vertAlign w:val="subscript"/>
          <w:lang w:val="zh-CN"/>
        </w:rPr>
        <w:t>2.5</w:t>
      </w:r>
      <w:r>
        <w:rPr>
          <w:rFonts w:ascii="Times New Roman" w:hAnsi="Times New Roman"/>
          <w:sz w:val="28"/>
          <w:szCs w:val="28"/>
          <w:lang w:val="zh-CN"/>
        </w:rPr>
        <w:t>、HC排放</w:t>
      </w:r>
      <w:r>
        <w:rPr>
          <w:rFonts w:hint="eastAsia" w:ascii="Times New Roman" w:hAnsi="Times New Roman"/>
          <w:sz w:val="28"/>
          <w:szCs w:val="28"/>
          <w:lang w:val="zh-CN"/>
        </w:rPr>
        <w:t>总</w:t>
      </w:r>
      <w:r>
        <w:rPr>
          <w:rFonts w:ascii="Times New Roman" w:hAnsi="Times New Roman"/>
          <w:sz w:val="28"/>
          <w:szCs w:val="28"/>
          <w:lang w:val="zh-CN"/>
        </w:rPr>
        <w:t>量分别为</w:t>
      </w:r>
      <w:r>
        <w:rPr>
          <w:rFonts w:hint="eastAsia" w:ascii="Times New Roman" w:hAnsi="Times New Roman"/>
          <w:sz w:val="28"/>
          <w:szCs w:val="28"/>
        </w:rPr>
        <w:t>21.0</w:t>
      </w:r>
      <w:r>
        <w:rPr>
          <w:rFonts w:ascii="Times New Roman" w:hAnsi="Times New Roman"/>
          <w:sz w:val="28"/>
          <w:szCs w:val="28"/>
          <w:lang w:val="zh-CN"/>
        </w:rPr>
        <w:t>吨、</w:t>
      </w:r>
      <w:r>
        <w:rPr>
          <w:rFonts w:hint="eastAsia" w:ascii="Times New Roman" w:hAnsi="Times New Roman"/>
          <w:sz w:val="28"/>
          <w:szCs w:val="28"/>
        </w:rPr>
        <w:t>10.8</w:t>
      </w:r>
      <w:r>
        <w:rPr>
          <w:rFonts w:ascii="Times New Roman" w:hAnsi="Times New Roman"/>
          <w:sz w:val="28"/>
          <w:szCs w:val="28"/>
          <w:lang w:val="zh-CN"/>
        </w:rPr>
        <w:t>吨、</w:t>
      </w:r>
      <w:r>
        <w:rPr>
          <w:rFonts w:hint="eastAsia" w:ascii="Times New Roman" w:hAnsi="Times New Roman"/>
          <w:sz w:val="28"/>
          <w:szCs w:val="28"/>
        </w:rPr>
        <w:t>0.09</w:t>
      </w:r>
      <w:r>
        <w:rPr>
          <w:rFonts w:ascii="Times New Roman" w:hAnsi="Times New Roman"/>
          <w:sz w:val="28"/>
          <w:szCs w:val="28"/>
          <w:lang w:val="zh-CN"/>
        </w:rPr>
        <w:t>吨、</w:t>
      </w:r>
      <w:r>
        <w:rPr>
          <w:rFonts w:hint="eastAsia" w:ascii="Times New Roman" w:hAnsi="Times New Roman"/>
          <w:sz w:val="28"/>
          <w:szCs w:val="28"/>
        </w:rPr>
        <w:t>0.08</w:t>
      </w:r>
      <w:r>
        <w:rPr>
          <w:rFonts w:ascii="Times New Roman" w:hAnsi="Times New Roman"/>
          <w:sz w:val="28"/>
          <w:szCs w:val="28"/>
          <w:lang w:val="zh-CN"/>
        </w:rPr>
        <w:t>吨、</w:t>
      </w:r>
      <w:r>
        <w:rPr>
          <w:rFonts w:hint="eastAsia" w:ascii="Times New Roman" w:hAnsi="Times New Roman"/>
          <w:sz w:val="28"/>
          <w:szCs w:val="28"/>
        </w:rPr>
        <w:t>0.5</w:t>
      </w:r>
      <w:r>
        <w:rPr>
          <w:rFonts w:ascii="Times New Roman" w:hAnsi="Times New Roman"/>
          <w:sz w:val="28"/>
          <w:szCs w:val="28"/>
          <w:lang w:val="zh-CN"/>
        </w:rPr>
        <w:t>吨</w:t>
      </w:r>
      <w:r>
        <w:rPr>
          <w:rFonts w:ascii="Times New Roman" w:hAnsi="Times New Roman"/>
          <w:sz w:val="28"/>
          <w:szCs w:val="28"/>
        </w:rPr>
        <w:t>。船舶和集疏运车辆的大气污染物排放量整体较小，由于船舶和集疏运车辆扩散范围有限，因此不会对周围区域的大气环境产生太大影响。</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综上可知，在严格执行环境空气保护措施下，规划实施后港区污染排放不会对区域大气环境质量产生太大影响。</w:t>
      </w:r>
    </w:p>
    <w:p>
      <w:pPr>
        <w:pStyle w:val="16"/>
        <w:spacing w:before="120" w:after="120"/>
      </w:pPr>
      <w:r>
        <w:rPr>
          <w:rFonts w:hint="eastAsia"/>
        </w:rPr>
        <w:t>4、声</w:t>
      </w:r>
      <w:r>
        <w:t>环境影响评价</w:t>
      </w:r>
      <w:r>
        <w:rPr>
          <w:rFonts w:hint="eastAsia"/>
        </w:rPr>
        <w:t>结论</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根据噪声影响分析结果，</w:t>
      </w:r>
      <w:r>
        <w:rPr>
          <w:rFonts w:hint="eastAsia" w:ascii="Times New Roman" w:hAnsi="Times New Roman"/>
          <w:sz w:val="28"/>
          <w:szCs w:val="28"/>
        </w:rPr>
        <w:t>秦皇岛</w:t>
      </w:r>
      <w:r>
        <w:rPr>
          <w:rFonts w:ascii="Times New Roman" w:hAnsi="Times New Roman"/>
          <w:sz w:val="28"/>
          <w:szCs w:val="28"/>
        </w:rPr>
        <w:t>港机械作业和设施运转产生的噪声对港区外围影响较小。港区内距离作业机械较近的工人受到的噪声影响较大，为保证港口作业工人的职业安全卫生，建议高噪声码头区工人的工作时间控制在6小时以内较为适宜。同时，各码头泊位应逐步采用先进的装卸设备和工艺，进一步减少装卸作业噪声的影响。</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规划实施后，疏港公路交通噪声执行《声环境质量标准》（GB3096-2008）中4a类标准，即对交通干线两侧噪声的要求：位于城市中的道路交通干线两侧区域执行昼间低于70dB（A）规定。根据计算结果，</w:t>
      </w:r>
      <w:r>
        <w:rPr>
          <w:rFonts w:hint="eastAsia" w:ascii="Times New Roman" w:hAnsi="Times New Roman"/>
          <w:sz w:val="28"/>
          <w:szCs w:val="28"/>
        </w:rPr>
        <w:t>在忽略屏障、坡度等衰减的前提下，2035年秦皇岛港各港区昼间疏港公路两侧均能达到4a类标准要求，夜间均能在40米内达到4a类标准要求。</w:t>
      </w:r>
    </w:p>
    <w:p>
      <w:pPr>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根据《声环境质量标准》，港口集疏运铁路干线属于既有铁路干线，两侧区域不通过列车时的环境背景噪声限值执行昼间70dB(A)、夜间60dB(A)。按照《铁路边界噪声限值及其测量方法》（GB12525-90）修改方案，既有铁路边界铁路噪声限值执行昼间、夜间70dB(A)。预测结果显示，港口集疏运铁路噪声满足有关环境质量标准和铁路边界噪声排放标准。</w:t>
      </w:r>
    </w:p>
    <w:p>
      <w:pPr>
        <w:pStyle w:val="16"/>
        <w:spacing w:before="120" w:after="120"/>
      </w:pPr>
      <w:r>
        <w:rPr>
          <w:rFonts w:hint="eastAsia"/>
        </w:rPr>
        <w:t>6、环境风险评价结论</w:t>
      </w:r>
    </w:p>
    <w:p>
      <w:pPr>
        <w:adjustRightInd w:val="0"/>
        <w:snapToGrid w:val="0"/>
        <w:spacing w:beforeLines="50" w:line="360" w:lineRule="auto"/>
        <w:ind w:firstLine="600" w:firstLineChars="250"/>
        <w:rPr>
          <w:rFonts w:ascii="Times New Roman" w:hAnsi="Times New Roman"/>
          <w:sz w:val="28"/>
          <w:szCs w:val="28"/>
        </w:rPr>
      </w:pPr>
      <w:bookmarkStart w:id="2" w:name="_Toc74763909"/>
      <w:r>
        <w:rPr>
          <w:rFonts w:ascii="Times New Roman" w:hAnsi="Times New Roman" w:eastAsia="宋体" w:cs="Times New Roman"/>
          <w:sz w:val="24"/>
        </w:rPr>
        <w:t>规划实施后，</w:t>
      </w:r>
      <w:r>
        <w:rPr>
          <w:rFonts w:hint="eastAsia" w:ascii="Times New Roman" w:hAnsi="Times New Roman" w:eastAsia="宋体" w:cs="Times New Roman"/>
          <w:sz w:val="24"/>
        </w:rPr>
        <w:t>秦皇岛港</w:t>
      </w:r>
      <w:r>
        <w:rPr>
          <w:rFonts w:ascii="Times New Roman" w:hAnsi="Times New Roman" w:eastAsia="宋体" w:cs="Times New Roman"/>
          <w:sz w:val="24"/>
        </w:rPr>
        <w:t>发生环境风险事故的类型主要为船舶溢油、化学品泄漏风险事故以及罐区火灾爆炸险事故。</w:t>
      </w:r>
      <w:r>
        <w:rPr>
          <w:rFonts w:hint="eastAsia" w:ascii="Times New Roman" w:hAnsi="Times New Roman" w:eastAsia="宋体" w:cs="Times New Roman"/>
          <w:sz w:val="24"/>
        </w:rPr>
        <w:t>分别选择西港区航道交叉点、东港区码头前沿、东港区邮轮锚地、山海关码头前沿共四个溢油点，按照夏季风、冬季风和不利风的涨落潮进行预测分析，共计24个情景</w:t>
      </w:r>
      <w:r>
        <w:rPr>
          <w:rFonts w:hint="eastAsia" w:ascii="Times New Roman" w:hAnsi="Times New Roman"/>
          <w:sz w:val="28"/>
          <w:szCs w:val="28"/>
        </w:rPr>
        <w:t>，并评估其对环境的潜在影响。情景C1至C3涉及西港区航道交叉处的溢油风险，其中情景C1描述了夏季风条件下（南南西风，风速1.7米/秒）的溢油情况，情景C2和C3则分别对应冬季风（西北北风，风速2.0米/秒）和不利风（东南风，风速1.9米/秒）条件下的风险。这些情景考虑了不同季节风向变化对溢油扩散的影响。情景C7至C11则聚焦于东港区码头前沿，情景C7同样在夏季风条件下评估了溢油风险，而情景C9和C11分别在冬季风和不利风条件下进行了分析。情景C12至C17则针对东港区油轮锚地的溢油风险进行了评估，情景C13至C17分别对应不同季节和风向条件下的风险。情景C19至C23关注于山海关码头前沿的溢油风险，情景C19在夏季风条件下进行评估，而情景C21和C23则分别在冬季风和不利风条件下分析了溢油的潜在影响。</w:t>
      </w:r>
    </w:p>
    <w:p>
      <w:pPr>
        <w:pStyle w:val="19"/>
        <w:spacing w:after="120"/>
      </w:pPr>
      <w:r>
        <w:rPr>
          <w:rFonts w:hint="eastAsia"/>
        </w:rPr>
        <w:t>三、环境保护对策</w:t>
      </w:r>
      <w:bookmarkEnd w:id="2"/>
    </w:p>
    <w:p>
      <w:pPr>
        <w:pStyle w:val="20"/>
        <w:adjustRightInd w:val="0"/>
        <w:spacing w:before="0"/>
        <w:rPr>
          <w:rFonts w:ascii="Times New Roman" w:hAnsi="Times New Roman"/>
          <w:sz w:val="28"/>
          <w:szCs w:val="28"/>
        </w:rPr>
      </w:pPr>
      <w:r>
        <w:rPr>
          <w:rFonts w:hint="eastAsia" w:ascii="Times New Roman" w:hAnsi="Times New Roman"/>
          <w:sz w:val="28"/>
          <w:szCs w:val="28"/>
        </w:rPr>
        <w:t>表11</w:t>
      </w:r>
      <w:r>
        <w:rPr>
          <w:rFonts w:ascii="Times New Roman" w:hAnsi="Times New Roman"/>
          <w:sz w:val="28"/>
          <w:szCs w:val="28"/>
        </w:rPr>
        <w:t>.</w:t>
      </w:r>
      <w:r>
        <w:rPr>
          <w:rFonts w:hint="eastAsia" w:ascii="Times New Roman" w:hAnsi="Times New Roman"/>
          <w:sz w:val="28"/>
          <w:szCs w:val="28"/>
        </w:rPr>
        <w:t>4</w:t>
      </w:r>
      <w:r>
        <w:rPr>
          <w:rFonts w:ascii="Times New Roman" w:hAnsi="Times New Roman"/>
          <w:sz w:val="28"/>
          <w:szCs w:val="28"/>
        </w:rPr>
        <w:t xml:space="preserve">-1 </w:t>
      </w:r>
      <w:r>
        <w:rPr>
          <w:rFonts w:hint="eastAsia" w:ascii="Times New Roman" w:hAnsi="Times New Roman"/>
          <w:sz w:val="28"/>
          <w:szCs w:val="28"/>
        </w:rPr>
        <w:t>本报告要求采取的主要环境减缓措施汇总表</w:t>
      </w:r>
    </w:p>
    <w:tbl>
      <w:tblPr>
        <w:tblStyle w:val="9"/>
        <w:tblW w:w="51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907"/>
        <w:gridCol w:w="762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tblHeader/>
          <w:jc w:val="center"/>
        </w:trPr>
        <w:tc>
          <w:tcPr>
            <w:tcW w:w="515" w:type="pct"/>
            <w:tcBorders>
              <w:top w:val="single" w:color="auto" w:sz="12" w:space="0"/>
              <w:left w:val="nil"/>
              <w:bottom w:val="single" w:color="auto" w:sz="4" w:space="0"/>
              <w:right w:val="single" w:color="auto" w:sz="4" w:space="0"/>
            </w:tcBorders>
            <w:vAlign w:val="center"/>
          </w:tcPr>
          <w:p>
            <w:pPr>
              <w:spacing w:line="276" w:lineRule="auto"/>
              <w:contextualSpacing/>
              <w:jc w:val="center"/>
              <w:rPr>
                <w:b/>
                <w:szCs w:val="21"/>
              </w:rPr>
            </w:pPr>
            <w:r>
              <w:rPr>
                <w:rFonts w:hint="eastAsia"/>
                <w:b/>
                <w:szCs w:val="21"/>
              </w:rPr>
              <w:t>环境</w:t>
            </w:r>
          </w:p>
          <w:p>
            <w:pPr>
              <w:spacing w:line="276" w:lineRule="auto"/>
              <w:contextualSpacing/>
              <w:jc w:val="center"/>
              <w:rPr>
                <w:b/>
                <w:szCs w:val="21"/>
              </w:rPr>
            </w:pPr>
            <w:r>
              <w:rPr>
                <w:rFonts w:hint="eastAsia"/>
                <w:b/>
                <w:szCs w:val="21"/>
              </w:rPr>
              <w:t>要素</w:t>
            </w:r>
          </w:p>
        </w:tc>
        <w:tc>
          <w:tcPr>
            <w:tcW w:w="4485" w:type="pct"/>
            <w:tcBorders>
              <w:top w:val="single" w:color="auto" w:sz="12" w:space="0"/>
              <w:left w:val="single" w:color="auto" w:sz="4" w:space="0"/>
              <w:bottom w:val="single" w:color="auto" w:sz="4" w:space="0"/>
              <w:right w:val="nil"/>
            </w:tcBorders>
            <w:vAlign w:val="center"/>
          </w:tcPr>
          <w:p>
            <w:pPr>
              <w:spacing w:line="276" w:lineRule="auto"/>
              <w:contextualSpacing/>
              <w:jc w:val="center"/>
              <w:rPr>
                <w:b/>
                <w:szCs w:val="21"/>
              </w:rPr>
            </w:pPr>
            <w:r>
              <w:rPr>
                <w:rFonts w:hint="eastAsia"/>
                <w:b/>
                <w:szCs w:val="21"/>
              </w:rPr>
              <w:t>主要措施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tcBorders>
              <w:top w:val="single" w:color="auto" w:sz="4" w:space="0"/>
              <w:left w:val="nil"/>
              <w:bottom w:val="single" w:color="auto" w:sz="4" w:space="0"/>
              <w:right w:val="single" w:color="auto" w:sz="4" w:space="0"/>
            </w:tcBorders>
            <w:vAlign w:val="center"/>
          </w:tcPr>
          <w:p>
            <w:pPr>
              <w:snapToGrid w:val="0"/>
              <w:spacing w:line="276" w:lineRule="auto"/>
              <w:contextualSpacing/>
              <w:jc w:val="center"/>
              <w:rPr>
                <w:szCs w:val="21"/>
              </w:rPr>
            </w:pPr>
            <w:r>
              <w:rPr>
                <w:rFonts w:hint="eastAsia"/>
                <w:szCs w:val="21"/>
              </w:rPr>
              <w:t>水环境</w:t>
            </w:r>
          </w:p>
        </w:tc>
        <w:tc>
          <w:tcPr>
            <w:tcW w:w="4485" w:type="pct"/>
            <w:tcBorders>
              <w:top w:val="single" w:color="auto" w:sz="4" w:space="0"/>
              <w:left w:val="single" w:color="auto" w:sz="4" w:space="0"/>
              <w:bottom w:val="single" w:color="auto" w:sz="4" w:space="0"/>
              <w:right w:val="nil"/>
            </w:tcBorders>
            <w:vAlign w:val="center"/>
          </w:tcPr>
          <w:p>
            <w:pPr>
              <w:numPr>
                <w:ilvl w:val="0"/>
                <w:numId w:val="1"/>
              </w:numPr>
              <w:adjustRightInd w:val="0"/>
              <w:snapToGrid w:val="0"/>
              <w:spacing w:line="276" w:lineRule="auto"/>
              <w:ind w:firstLine="0"/>
              <w:contextualSpacing/>
              <w:jc w:val="left"/>
              <w:rPr>
                <w:szCs w:val="21"/>
              </w:rPr>
            </w:pPr>
            <w:r>
              <w:rPr>
                <w:rFonts w:hint="eastAsia"/>
                <w:szCs w:val="21"/>
              </w:rPr>
              <w:t>在规划期间，现有或新建的机修、航修等车间和场地四周应设置汇水暗沟，上覆以带泄水口的盖板，污水应先进行隔油，然后进入调节池沉淀，经油水分离器处理达标后排入生活污水处理设施进行深度处理，处理后回用。同时应及时回收和清除废油污，严禁随意排放。</w:t>
            </w:r>
          </w:p>
          <w:p>
            <w:pPr>
              <w:numPr>
                <w:ilvl w:val="0"/>
                <w:numId w:val="1"/>
              </w:numPr>
              <w:adjustRightInd w:val="0"/>
              <w:snapToGrid w:val="0"/>
              <w:spacing w:line="276" w:lineRule="auto"/>
              <w:ind w:left="220" w:leftChars="105" w:firstLine="0"/>
              <w:contextualSpacing/>
              <w:jc w:val="left"/>
              <w:rPr>
                <w:szCs w:val="21"/>
              </w:rPr>
            </w:pPr>
            <w:r>
              <w:rPr>
                <w:rFonts w:hint="eastAsia"/>
                <w:szCs w:val="21"/>
              </w:rPr>
              <w:t>机械、车辆维修和清洁产生的冲洗水，应加强管理、严格控制。对于油垢较多的机械和车辆必须先干洁清除油垢，然后用水清洗。冲洗作业可在冲洗台或冲洗间进行，并设置隔油池进行回收和处理。生产含油污水：港航企业应与有资质的油污水接收处理单位签订协议，将油污水进行回收。港区应配套建设相应的污水处理设施，对港区产生的油污水进行预处理。</w:t>
            </w:r>
          </w:p>
          <w:p>
            <w:pPr>
              <w:numPr>
                <w:ilvl w:val="0"/>
                <w:numId w:val="1"/>
              </w:numPr>
              <w:adjustRightInd w:val="0"/>
              <w:snapToGrid w:val="0"/>
              <w:spacing w:line="276" w:lineRule="auto"/>
              <w:ind w:left="220" w:leftChars="105" w:firstLine="0"/>
              <w:contextualSpacing/>
              <w:jc w:val="left"/>
              <w:rPr>
                <w:szCs w:val="21"/>
              </w:rPr>
            </w:pPr>
            <w:r>
              <w:rPr>
                <w:rFonts w:hint="eastAsia"/>
              </w:rPr>
              <w:t>进出港船舶应遵守</w:t>
            </w:r>
            <w:r>
              <w:t>MARPOL73/78</w:t>
            </w:r>
            <w:r>
              <w:rPr>
                <w:rFonts w:hint="eastAsia"/>
              </w:rPr>
              <w:t>公约，靠港船舶舱底油污水经自备油水分离器处理达标后到港外排放，不得在港内排放；排放应符合</w:t>
            </w:r>
            <w:r>
              <w:t>GB3552-83</w:t>
            </w:r>
            <w:r>
              <w:rPr>
                <w:rFonts w:hint="eastAsia"/>
              </w:rPr>
              <w:t>《船舶污染物排放标准》要求。靠港船舶未配备油水分离处理设施的，或靠港时停止使用、或因故障未能正常运行的，由专业机构落实接收处理达标后排放。船舶压载水主要在煤炭港区产生，利用现有的处理设施进行接收处理。</w:t>
            </w:r>
          </w:p>
          <w:p>
            <w:pPr>
              <w:numPr>
                <w:ilvl w:val="0"/>
                <w:numId w:val="1"/>
              </w:numPr>
              <w:adjustRightInd w:val="0"/>
              <w:snapToGrid w:val="0"/>
              <w:spacing w:line="276" w:lineRule="auto"/>
              <w:ind w:left="220" w:leftChars="105" w:firstLine="0"/>
              <w:contextualSpacing/>
              <w:jc w:val="left"/>
              <w:rPr>
                <w:szCs w:val="21"/>
              </w:rPr>
            </w:pPr>
            <w:r>
              <w:rPr>
                <w:rFonts w:hint="eastAsia"/>
              </w:rPr>
              <w:t>由于集装箱洗箱污水成份较复杂，需要特殊处理。通常集装箱洗箱污水应设置专门的接收设备，或送往港区以外的专业化单位予以处理，或排入港区内的油污水处理系统。根据规划的实际情况，建议在有油污水处理系统的综合港区清洗集装箱后处理集装箱洗箱水，在没有油污水处理系统的作业区应禁止在此拆箱、洗箱。经处理后的洗箱水经监测满足污水排放要求后，可排入生活污水处理设施深度处理后回用。</w:t>
            </w:r>
          </w:p>
          <w:p>
            <w:pPr>
              <w:numPr>
                <w:ilvl w:val="0"/>
                <w:numId w:val="1"/>
              </w:numPr>
              <w:adjustRightInd w:val="0"/>
              <w:snapToGrid w:val="0"/>
              <w:spacing w:line="276" w:lineRule="auto"/>
              <w:ind w:left="220" w:leftChars="105" w:firstLine="0"/>
              <w:contextualSpacing/>
              <w:jc w:val="left"/>
              <w:rPr>
                <w:szCs w:val="21"/>
              </w:rPr>
            </w:pPr>
            <w:r>
              <w:rPr>
                <w:rFonts w:hint="eastAsia"/>
              </w:rPr>
              <w:t>港区应实行雨污分流，对分流的含煤、矿粉的污水应进行处理。建议规划实施时，按照本评价报告的结论，进一步完善堆场附近煤（矿）污水处理系统。煤（矿）污水处理回用系统应进行高标准建设，出水水质必须达到回用标准，通常煤（矿）污水处理系统采用斜板、平流式二次沉淀法处理，处理后排入水中的浓度应小于</w:t>
            </w:r>
            <w:r>
              <w:t>150mg/L</w:t>
            </w:r>
            <w:r>
              <w:rPr>
                <w:rFonts w:hint="eastAsia"/>
              </w:rPr>
              <w:t>，实现较清洁的径流污水处理后零排放。同时，在码头和堆场之间采用全封闭皮带传送设备，减少汇水面积。落实以上措施后，煤（矿）径流污水总体上对区域水环境的影响较小。</w:t>
            </w:r>
          </w:p>
          <w:p>
            <w:pPr>
              <w:numPr>
                <w:ilvl w:val="0"/>
                <w:numId w:val="1"/>
              </w:numPr>
              <w:adjustRightInd w:val="0"/>
              <w:snapToGrid w:val="0"/>
              <w:spacing w:line="276" w:lineRule="auto"/>
              <w:ind w:left="220" w:leftChars="105" w:firstLine="0"/>
              <w:contextualSpacing/>
              <w:jc w:val="left"/>
            </w:pPr>
            <w:r>
              <w:rPr>
                <w:rFonts w:hint="eastAsia"/>
              </w:rPr>
              <w:t>根据</w:t>
            </w:r>
            <w:r>
              <w:t>MRPOL73/78</w:t>
            </w:r>
            <w:r>
              <w:rPr>
                <w:rFonts w:hint="eastAsia"/>
              </w:rPr>
              <w:t>公约附则“防止船舶生活污水污染规则”，对船舶的生活污水排放进行了明确的规定。船舶在距最近陆地</w:t>
            </w:r>
            <w:r>
              <w:t>3n mile</w:t>
            </w:r>
            <w:r>
              <w:rPr>
                <w:rFonts w:hint="eastAsia"/>
              </w:rPr>
              <w:t>之外，使用主管机关认可的设备，排放已经粉碎和消毒的生活污水，或在距最近</w:t>
            </w:r>
            <w:r>
              <w:t>12n mile</w:t>
            </w:r>
            <w:r>
              <w:rPr>
                <w:rFonts w:hint="eastAsia"/>
              </w:rPr>
              <w:t>以外排放未经粉碎和消毒的生活污水。不得将集污舱中存储的生活污水即刻排光。</w:t>
            </w:r>
          </w:p>
          <w:p>
            <w:pPr>
              <w:numPr>
                <w:ilvl w:val="0"/>
                <w:numId w:val="1"/>
              </w:numPr>
              <w:adjustRightInd w:val="0"/>
              <w:snapToGrid w:val="0"/>
              <w:spacing w:line="276" w:lineRule="auto"/>
              <w:ind w:left="220" w:leftChars="105" w:firstLine="0"/>
              <w:contextualSpacing/>
              <w:jc w:val="left"/>
            </w:pPr>
            <w:r>
              <w:rPr>
                <w:rFonts w:hint="eastAsia"/>
              </w:rPr>
              <w:t>进出港船舶应当采用收集存储装置（集污舱）、生活污水粉碎消毒系统或生活污水处理装置等三种生活污水处理方法之一。船舶生活污水处理方法包括无排放型生活污水处理方式和排放型生活污水处理方式。无排放型通常包括船舶储存方式和再循环处理方式，对于排放型生活污水处理方法，根据国际公约和相关规定中排放标准的要求，使得船舶生活污水必须经过相应处理之后才能按规定排放。</w:t>
            </w:r>
          </w:p>
          <w:p>
            <w:pPr>
              <w:numPr>
                <w:ilvl w:val="0"/>
                <w:numId w:val="1"/>
              </w:numPr>
              <w:adjustRightInd w:val="0"/>
              <w:snapToGrid w:val="0"/>
              <w:spacing w:line="276" w:lineRule="auto"/>
              <w:ind w:left="220" w:leftChars="105" w:firstLine="0"/>
              <w:contextualSpacing/>
              <w:jc w:val="left"/>
              <w:rPr>
                <w:szCs w:val="21"/>
              </w:rPr>
            </w:pPr>
            <w:r>
              <w:rPr>
                <w:rFonts w:hint="eastAsia"/>
              </w:rPr>
              <w:t>根据</w:t>
            </w:r>
            <w:r>
              <w:t>MARPOL73/78</w:t>
            </w:r>
            <w:r>
              <w:rPr>
                <w:rFonts w:hint="eastAsia"/>
              </w:rPr>
              <w:t>公约，秦皇岛港要保证在港口或码头设置船舶生活污水接收处理设施，便于接收没有设置生活污水处理装置的船舶上的生活污水，通常应由具有相应资质的公司来完成。一般情况下，将船舶所储存的生活污水驳至污水接收船，再由污水接收船送至岸上的生活污水处理厂处理。《“</w:t>
            </w:r>
            <w:r>
              <w:t>MARPOL73/78</w:t>
            </w:r>
            <w:r>
              <w:rPr>
                <w:rFonts w:hint="eastAsia"/>
              </w:rPr>
              <w:t>”附则Ⅰ》的相关规定，载重吨大于</w:t>
            </w:r>
            <w:r>
              <w:t>2</w:t>
            </w:r>
            <w:r>
              <w:rPr>
                <w:rFonts w:hint="eastAsia"/>
              </w:rPr>
              <w:t>万吨的新油船应设有专用压载舱和原油洗舱，载重吨大于</w:t>
            </w:r>
            <w:r>
              <w:t>4</w:t>
            </w:r>
            <w:r>
              <w:rPr>
                <w:rFonts w:hint="eastAsia"/>
              </w:rPr>
              <w:t>万吨的现有油船应设有专用压载舱或原油洗舱。就秦皇岛港的实际情况来看，油轮基本都是重船入港，一般无压舱水产生。煤炭和金属矿石是秦皇岛港的主要运输货种，其中煤炭船舶主要是空船来港，因此有压载水的问题。根据相关规定，压载水多储存于船内独立的密闭系统内，不与货物直接接触，故一般不受散货污染。</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tcBorders>
              <w:top w:val="single" w:color="auto" w:sz="4" w:space="0"/>
              <w:left w:val="nil"/>
              <w:bottom w:val="single" w:color="auto" w:sz="4" w:space="0"/>
              <w:right w:val="single" w:color="auto" w:sz="4" w:space="0"/>
            </w:tcBorders>
            <w:vAlign w:val="center"/>
          </w:tcPr>
          <w:p>
            <w:pPr>
              <w:pStyle w:val="28"/>
              <w:numPr>
                <w:ilvl w:val="0"/>
                <w:numId w:val="2"/>
              </w:numPr>
              <w:adjustRightInd/>
              <w:spacing w:line="276" w:lineRule="auto"/>
              <w:ind w:left="220" w:leftChars="105" w:firstLine="0" w:firstLineChars="0"/>
              <w:contextualSpacing/>
              <w:jc w:val="left"/>
              <w:rPr>
                <w:sz w:val="21"/>
                <w:szCs w:val="21"/>
              </w:rPr>
            </w:pPr>
            <w:r>
              <w:rPr>
                <w:rFonts w:hint="eastAsia"/>
                <w:sz w:val="21"/>
                <w:szCs w:val="21"/>
              </w:rPr>
              <w:t>大气环境</w:t>
            </w:r>
          </w:p>
        </w:tc>
        <w:tc>
          <w:tcPr>
            <w:tcW w:w="4485" w:type="pct"/>
            <w:tcBorders>
              <w:top w:val="single" w:color="auto" w:sz="4" w:space="0"/>
              <w:left w:val="single" w:color="auto" w:sz="4" w:space="0"/>
              <w:bottom w:val="single" w:color="auto" w:sz="4" w:space="0"/>
              <w:right w:val="nil"/>
            </w:tcBorders>
            <w:vAlign w:val="center"/>
          </w:tcPr>
          <w:p>
            <w:pPr>
              <w:pStyle w:val="28"/>
              <w:numPr>
                <w:ilvl w:val="0"/>
                <w:numId w:val="3"/>
              </w:numPr>
              <w:spacing w:line="276" w:lineRule="auto"/>
              <w:ind w:firstLine="0" w:firstLineChars="0"/>
              <w:contextualSpacing/>
              <w:jc w:val="left"/>
              <w:rPr>
                <w:sz w:val="21"/>
                <w:szCs w:val="21"/>
              </w:rPr>
            </w:pPr>
            <w:r>
              <w:rPr>
                <w:rFonts w:hint="eastAsia"/>
                <w:sz w:val="21"/>
                <w:szCs w:val="21"/>
              </w:rPr>
              <w:t>对于新建的专用散货煤码头必须执行环保“三同时”规定，采用国内外先进的除尘、防尘技术和设备，最大限度地降低粉尘排放量。对已建港区的干散货码头，通过技术改造不断加强和完善除尘、防尘设施，逐步削减粉尘排放量。</w:t>
            </w:r>
          </w:p>
          <w:p>
            <w:pPr>
              <w:pStyle w:val="28"/>
              <w:numPr>
                <w:ilvl w:val="0"/>
                <w:numId w:val="3"/>
              </w:numPr>
              <w:spacing w:line="276" w:lineRule="auto"/>
              <w:ind w:left="220" w:leftChars="105" w:firstLine="0" w:firstLineChars="0"/>
              <w:contextualSpacing/>
              <w:jc w:val="left"/>
              <w:rPr>
                <w:sz w:val="21"/>
                <w:szCs w:val="21"/>
              </w:rPr>
            </w:pPr>
            <w:r>
              <w:rPr>
                <w:rFonts w:hint="eastAsia"/>
                <w:sz w:val="21"/>
                <w:szCs w:val="21"/>
              </w:rPr>
              <w:t>秦皇岛港货物集疏运以铁路运输为主，公路运输次之。建议港口企业应选用耗油低、污染物排放量少型号的汽车。维修保养应严格执行</w:t>
            </w:r>
            <w:r>
              <w:rPr>
                <w:sz w:val="21"/>
                <w:szCs w:val="21"/>
              </w:rPr>
              <w:t>I/M</w:t>
            </w:r>
            <w:r>
              <w:rPr>
                <w:rFonts w:hint="eastAsia"/>
                <w:sz w:val="21"/>
                <w:szCs w:val="21"/>
              </w:rPr>
              <w:t>制度，使汽车和机械设备维持良好的工作状态，以降低车辆、装卸机械燃油产生的尾气。应禁止尾气明显不达标的船舶行使，控制船舶在港时的燃烧时间，尽快淘汰不符合环保要求的船舶。</w:t>
            </w:r>
          </w:p>
          <w:p>
            <w:pPr>
              <w:pStyle w:val="28"/>
              <w:numPr>
                <w:ilvl w:val="0"/>
                <w:numId w:val="3"/>
              </w:numPr>
              <w:spacing w:line="276" w:lineRule="auto"/>
              <w:ind w:left="220" w:leftChars="105" w:firstLine="0" w:firstLineChars="0"/>
              <w:contextualSpacing/>
              <w:jc w:val="left"/>
              <w:rPr>
                <w:sz w:val="21"/>
                <w:szCs w:val="21"/>
              </w:rPr>
            </w:pPr>
            <w:r>
              <w:rPr>
                <w:rFonts w:hint="eastAsia"/>
                <w:sz w:val="21"/>
                <w:szCs w:val="21"/>
              </w:rPr>
              <w:t>港区营运期间疏港汽车在运输过程中可能会对运输路线的两侧造成粉尘污染的防污染措施：①营运期间应做好货运汽车的管理工作，做好货运汽车的交通疏导工作。②运输车辆应采用标准化车型，并尽可能加盖密封改装。③没有条件加盖密封改装的车辆，必须统一覆盖帆布。④已加盖密封改装的车辆，必须规范使用加盖装置，并经常保持装置状态良好，如有损坏应及时修复。⑤必须保证车厢结合部位密封，车厢后栏板关闭严密，不得泄漏。</w:t>
            </w:r>
          </w:p>
          <w:p>
            <w:pPr>
              <w:pStyle w:val="28"/>
              <w:numPr>
                <w:ilvl w:val="0"/>
                <w:numId w:val="3"/>
              </w:numPr>
              <w:spacing w:line="276" w:lineRule="auto"/>
              <w:ind w:left="220" w:leftChars="105" w:firstLine="0" w:firstLineChars="0"/>
              <w:contextualSpacing/>
              <w:jc w:val="left"/>
              <w:rPr>
                <w:sz w:val="21"/>
                <w:szCs w:val="21"/>
              </w:rPr>
            </w:pPr>
            <w:r>
              <w:rPr>
                <w:rFonts w:hint="eastAsia"/>
                <w:sz w:val="21"/>
                <w:szCs w:val="21"/>
              </w:rPr>
              <w:t>加强船舶管理。严格船舶登记管理及船舶燃油发动机登记管理制度，对船舶的发动机排气进行监测，如果船舶进入“</w:t>
            </w:r>
            <w:r>
              <w:rPr>
                <w:sz w:val="21"/>
                <w:szCs w:val="21"/>
              </w:rPr>
              <w:t>SOX</w:t>
            </w:r>
            <w:r>
              <w:rPr>
                <w:rFonts w:hint="eastAsia"/>
                <w:sz w:val="21"/>
                <w:szCs w:val="21"/>
              </w:rPr>
              <w:t>排放控制区”区域，其使用的燃油含硫量应不超过</w:t>
            </w:r>
            <w:r>
              <w:rPr>
                <w:sz w:val="21"/>
                <w:szCs w:val="21"/>
              </w:rPr>
              <w:t>0.5%m/m</w:t>
            </w:r>
            <w:r>
              <w:rPr>
                <w:rFonts w:hint="eastAsia"/>
                <w:sz w:val="21"/>
                <w:szCs w:val="21"/>
              </w:rPr>
              <w:t>。</w:t>
            </w:r>
          </w:p>
          <w:p>
            <w:pPr>
              <w:pStyle w:val="28"/>
              <w:numPr>
                <w:ilvl w:val="0"/>
                <w:numId w:val="3"/>
              </w:numPr>
              <w:spacing w:line="276" w:lineRule="auto"/>
              <w:ind w:left="220" w:leftChars="105" w:firstLine="0" w:firstLineChars="0"/>
              <w:contextualSpacing/>
              <w:jc w:val="left"/>
              <w:rPr>
                <w:sz w:val="21"/>
                <w:szCs w:val="21"/>
              </w:rPr>
            </w:pPr>
            <w:r>
              <w:rPr>
                <w:rFonts w:hint="eastAsia"/>
                <w:sz w:val="21"/>
                <w:szCs w:val="21"/>
              </w:rPr>
              <w:t>推广应用船体防污除污技术，船舶航行时会有多种生物附着在船体，增加船底表面粗糙度，增加航行阻力，使航速下降，增加燃油消耗量，因此船体的防污除污必须及时进行。</w:t>
            </w:r>
          </w:p>
          <w:p>
            <w:pPr>
              <w:pStyle w:val="28"/>
              <w:numPr>
                <w:ilvl w:val="0"/>
                <w:numId w:val="3"/>
              </w:numPr>
              <w:spacing w:line="276" w:lineRule="auto"/>
              <w:ind w:left="220" w:leftChars="105" w:firstLine="0" w:firstLineChars="0"/>
              <w:contextualSpacing/>
              <w:jc w:val="left"/>
              <w:rPr>
                <w:sz w:val="21"/>
                <w:szCs w:val="21"/>
              </w:rPr>
            </w:pPr>
            <w:r>
              <w:rPr>
                <w:rFonts w:hint="eastAsia"/>
                <w:sz w:val="21"/>
                <w:szCs w:val="21"/>
              </w:rPr>
              <w:t>使用清洁能源替代低质燃油消耗，推广太阳能燃料电池，生物质柴油、液化天然气（</w:t>
            </w:r>
            <w:r>
              <w:rPr>
                <w:sz w:val="21"/>
                <w:szCs w:val="21"/>
              </w:rPr>
              <w:t>LNG</w:t>
            </w:r>
            <w:r>
              <w:rPr>
                <w:rFonts w:hint="eastAsia"/>
                <w:sz w:val="21"/>
                <w:szCs w:val="21"/>
              </w:rPr>
              <w:t>）、液化天然气（</w:t>
            </w:r>
            <w:r>
              <w:rPr>
                <w:sz w:val="21"/>
                <w:szCs w:val="21"/>
              </w:rPr>
              <w:t>LPG</w:t>
            </w:r>
            <w:r>
              <w:rPr>
                <w:rFonts w:hint="eastAsia"/>
                <w:sz w:val="21"/>
                <w:szCs w:val="21"/>
              </w:rPr>
              <w:t>）等清洁能源，推广船舶进港后使用岸电、风力驱动技术等，逐步改善船用燃料质量。</w:t>
            </w:r>
          </w:p>
          <w:p>
            <w:pPr>
              <w:pStyle w:val="28"/>
              <w:numPr>
                <w:ilvl w:val="0"/>
                <w:numId w:val="3"/>
              </w:numPr>
              <w:spacing w:line="276" w:lineRule="auto"/>
              <w:ind w:left="220" w:leftChars="105" w:firstLine="0" w:firstLineChars="0"/>
              <w:contextualSpacing/>
              <w:jc w:val="left"/>
              <w:rPr>
                <w:sz w:val="21"/>
                <w:szCs w:val="21"/>
              </w:rPr>
            </w:pPr>
            <w:r>
              <w:rPr>
                <w:rFonts w:hint="eastAsia"/>
                <w:sz w:val="21"/>
                <w:szCs w:val="21"/>
              </w:rPr>
              <w:t>油码头挥发烃类气体：采取清洁生产措施及相应污染控制。</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tcBorders>
              <w:top w:val="single" w:color="auto" w:sz="4" w:space="0"/>
              <w:left w:val="nil"/>
              <w:bottom w:val="single" w:color="auto" w:sz="4" w:space="0"/>
              <w:right w:val="single" w:color="auto" w:sz="4" w:space="0"/>
            </w:tcBorders>
            <w:vAlign w:val="center"/>
          </w:tcPr>
          <w:p>
            <w:pPr>
              <w:snapToGrid w:val="0"/>
              <w:spacing w:line="276" w:lineRule="auto"/>
              <w:contextualSpacing/>
              <w:jc w:val="center"/>
              <w:rPr>
                <w:szCs w:val="21"/>
              </w:rPr>
            </w:pPr>
            <w:r>
              <w:rPr>
                <w:rFonts w:hint="eastAsia"/>
                <w:szCs w:val="21"/>
              </w:rPr>
              <w:t>声环境</w:t>
            </w:r>
          </w:p>
        </w:tc>
        <w:tc>
          <w:tcPr>
            <w:tcW w:w="4485" w:type="pct"/>
            <w:tcBorders>
              <w:top w:val="single" w:color="auto" w:sz="4" w:space="0"/>
              <w:left w:val="single" w:color="auto" w:sz="4" w:space="0"/>
              <w:bottom w:val="single" w:color="auto" w:sz="4" w:space="0"/>
              <w:right w:val="nil"/>
            </w:tcBorders>
            <w:vAlign w:val="center"/>
          </w:tcPr>
          <w:p>
            <w:pPr>
              <w:numPr>
                <w:ilvl w:val="0"/>
                <w:numId w:val="4"/>
              </w:numPr>
              <w:adjustRightInd w:val="0"/>
              <w:snapToGrid w:val="0"/>
              <w:spacing w:line="276" w:lineRule="auto"/>
              <w:ind w:left="220" w:leftChars="105" w:firstLine="0"/>
              <w:contextualSpacing/>
              <w:jc w:val="left"/>
              <w:rPr>
                <w:szCs w:val="21"/>
              </w:rPr>
            </w:pPr>
            <w:r>
              <w:rPr>
                <w:rFonts w:hint="eastAsia"/>
                <w:szCs w:val="21"/>
              </w:rPr>
              <w:t>施工作业严禁使用高噪声设备。</w:t>
            </w:r>
          </w:p>
          <w:p>
            <w:pPr>
              <w:numPr>
                <w:ilvl w:val="0"/>
                <w:numId w:val="4"/>
              </w:numPr>
              <w:adjustRightInd w:val="0"/>
              <w:snapToGrid w:val="0"/>
              <w:spacing w:line="276" w:lineRule="auto"/>
              <w:ind w:left="220" w:leftChars="105" w:firstLine="0"/>
              <w:contextualSpacing/>
              <w:jc w:val="left"/>
              <w:rPr>
                <w:szCs w:val="21"/>
              </w:rPr>
            </w:pPr>
            <w:r>
              <w:rPr>
                <w:rFonts w:hint="eastAsia"/>
                <w:szCs w:val="21"/>
              </w:rPr>
              <w:t>合理安排施工进度与作业时间，选择性能良好的高效低噪施工设备等来减少港口建设施工对声环境的影响。</w:t>
            </w:r>
          </w:p>
          <w:p>
            <w:pPr>
              <w:numPr>
                <w:ilvl w:val="0"/>
                <w:numId w:val="4"/>
              </w:numPr>
              <w:adjustRightInd w:val="0"/>
              <w:snapToGrid w:val="0"/>
              <w:spacing w:line="276" w:lineRule="auto"/>
              <w:ind w:left="220" w:leftChars="105" w:firstLine="0"/>
              <w:contextualSpacing/>
              <w:jc w:val="left"/>
              <w:rPr>
                <w:szCs w:val="21"/>
              </w:rPr>
            </w:pPr>
            <w:r>
              <w:rPr>
                <w:rFonts w:hint="eastAsia"/>
                <w:szCs w:val="21"/>
              </w:rPr>
              <w:t>合理布局港内设施，将高噪声的作业场所与车间布置在距离厂界</w:t>
            </w:r>
            <w:r>
              <w:rPr>
                <w:szCs w:val="21"/>
              </w:rPr>
              <w:t>80m</w:t>
            </w:r>
            <w:r>
              <w:rPr>
                <w:rFonts w:hint="eastAsia"/>
                <w:szCs w:val="21"/>
              </w:rPr>
              <w:t>左右；疏港道路尽量不要穿越市区，疏港路线注意避让噪声敏感区。</w:t>
            </w:r>
          </w:p>
          <w:p>
            <w:pPr>
              <w:numPr>
                <w:ilvl w:val="0"/>
                <w:numId w:val="4"/>
              </w:numPr>
              <w:adjustRightInd w:val="0"/>
              <w:snapToGrid w:val="0"/>
              <w:spacing w:line="276" w:lineRule="auto"/>
              <w:ind w:left="220" w:leftChars="105" w:firstLine="0"/>
              <w:contextualSpacing/>
              <w:jc w:val="left"/>
              <w:rPr>
                <w:szCs w:val="21"/>
              </w:rPr>
            </w:pPr>
            <w:r>
              <w:rPr>
                <w:rFonts w:hint="eastAsia"/>
                <w:szCs w:val="21"/>
              </w:rPr>
              <w:t>对无法避让或已经存在的噪声敏感区，采取合理的工程措施降低噪声影响。</w:t>
            </w:r>
          </w:p>
          <w:p>
            <w:pPr>
              <w:numPr>
                <w:ilvl w:val="0"/>
                <w:numId w:val="4"/>
              </w:numPr>
              <w:adjustRightInd w:val="0"/>
              <w:snapToGrid w:val="0"/>
              <w:spacing w:line="276" w:lineRule="auto"/>
              <w:ind w:left="220" w:leftChars="105" w:firstLine="0"/>
              <w:contextualSpacing/>
              <w:jc w:val="left"/>
              <w:rPr>
                <w:szCs w:val="21"/>
              </w:rPr>
            </w:pPr>
            <w:r>
              <w:rPr>
                <w:rFonts w:hint="eastAsia"/>
                <w:szCs w:val="21"/>
              </w:rPr>
              <w:t>港区疏港路两侧</w:t>
            </w:r>
            <w:r>
              <w:rPr>
                <w:szCs w:val="21"/>
              </w:rPr>
              <w:t>200</w:t>
            </w:r>
            <w:r>
              <w:rPr>
                <w:rFonts w:hint="eastAsia"/>
                <w:szCs w:val="21"/>
              </w:rPr>
              <w:t>米以内应限制其用地功能，禁止新建居民区、学校、医院等噪声敏感区。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tcBorders>
              <w:top w:val="single" w:color="auto" w:sz="4" w:space="0"/>
              <w:left w:val="nil"/>
              <w:bottom w:val="single" w:color="auto" w:sz="4" w:space="0"/>
              <w:right w:val="single" w:color="auto" w:sz="4" w:space="0"/>
            </w:tcBorders>
            <w:vAlign w:val="center"/>
          </w:tcPr>
          <w:p>
            <w:pPr>
              <w:snapToGrid w:val="0"/>
              <w:spacing w:line="276" w:lineRule="auto"/>
              <w:contextualSpacing/>
              <w:jc w:val="center"/>
              <w:rPr>
                <w:szCs w:val="21"/>
              </w:rPr>
            </w:pPr>
            <w:r>
              <w:rPr>
                <w:rFonts w:hint="eastAsia"/>
                <w:szCs w:val="21"/>
              </w:rPr>
              <w:t>固体废物</w:t>
            </w:r>
          </w:p>
        </w:tc>
        <w:tc>
          <w:tcPr>
            <w:tcW w:w="4485" w:type="pct"/>
            <w:tcBorders>
              <w:top w:val="single" w:color="auto" w:sz="4" w:space="0"/>
              <w:left w:val="single" w:color="auto" w:sz="4" w:space="0"/>
              <w:bottom w:val="single" w:color="auto" w:sz="4" w:space="0"/>
              <w:right w:val="nil"/>
            </w:tcBorders>
            <w:vAlign w:val="center"/>
          </w:tcPr>
          <w:p>
            <w:pPr>
              <w:numPr>
                <w:ilvl w:val="0"/>
                <w:numId w:val="5"/>
              </w:numPr>
              <w:adjustRightInd w:val="0"/>
              <w:snapToGrid w:val="0"/>
              <w:spacing w:line="276" w:lineRule="auto"/>
              <w:ind w:left="220" w:leftChars="105" w:firstLine="0"/>
              <w:contextualSpacing/>
              <w:jc w:val="left"/>
              <w:rPr>
                <w:szCs w:val="21"/>
              </w:rPr>
            </w:pPr>
            <w:r>
              <w:rPr>
                <w:rFonts w:hint="eastAsia"/>
                <w:szCs w:val="21"/>
              </w:rPr>
              <w:t>港区生产生活垃圾：中转站收集后，送至城市垃圾无害化处理场处置。</w:t>
            </w:r>
          </w:p>
          <w:p>
            <w:pPr>
              <w:numPr>
                <w:ilvl w:val="0"/>
                <w:numId w:val="5"/>
              </w:numPr>
              <w:adjustRightInd w:val="0"/>
              <w:snapToGrid w:val="0"/>
              <w:spacing w:line="276" w:lineRule="auto"/>
              <w:ind w:left="220" w:leftChars="105" w:firstLine="0"/>
              <w:contextualSpacing/>
              <w:jc w:val="left"/>
              <w:rPr>
                <w:szCs w:val="21"/>
              </w:rPr>
            </w:pPr>
            <w:r>
              <w:rPr>
                <w:rFonts w:hint="eastAsia"/>
                <w:szCs w:val="21"/>
              </w:rPr>
              <w:t>工业固体废物：提高综合利用率；分类收集和清运，不得与生活垃圾等混合。</w:t>
            </w:r>
          </w:p>
          <w:p>
            <w:pPr>
              <w:numPr>
                <w:ilvl w:val="0"/>
                <w:numId w:val="5"/>
              </w:numPr>
              <w:adjustRightInd w:val="0"/>
              <w:snapToGrid w:val="0"/>
              <w:spacing w:line="276" w:lineRule="auto"/>
              <w:ind w:left="220" w:leftChars="105" w:firstLine="0"/>
              <w:contextualSpacing/>
              <w:jc w:val="left"/>
              <w:rPr>
                <w:szCs w:val="21"/>
              </w:rPr>
            </w:pPr>
            <w:r>
              <w:rPr>
                <w:rFonts w:hint="eastAsia"/>
                <w:szCs w:val="21"/>
              </w:rPr>
              <w:t>危险废物：应专门收集，集中送往有资质的危废处置机构处理，实行转移联单制度。</w:t>
            </w:r>
          </w:p>
          <w:p>
            <w:pPr>
              <w:numPr>
                <w:ilvl w:val="0"/>
                <w:numId w:val="5"/>
              </w:numPr>
              <w:adjustRightInd w:val="0"/>
              <w:snapToGrid w:val="0"/>
              <w:spacing w:line="276" w:lineRule="auto"/>
              <w:ind w:left="220" w:leftChars="105" w:firstLine="0"/>
              <w:contextualSpacing/>
              <w:jc w:val="left"/>
              <w:rPr>
                <w:szCs w:val="21"/>
              </w:rPr>
            </w:pPr>
            <w:r>
              <w:rPr>
                <w:rFonts w:hint="eastAsia"/>
                <w:szCs w:val="21"/>
              </w:rPr>
              <w:t>船舶垃圾：根据国际海事组织（</w:t>
            </w:r>
            <w:r>
              <w:rPr>
                <w:szCs w:val="21"/>
              </w:rPr>
              <w:t>IMO</w:t>
            </w:r>
            <w:r>
              <w:rPr>
                <w:rFonts w:hint="eastAsia"/>
                <w:szCs w:val="21"/>
              </w:rPr>
              <w:t>）制定的</w:t>
            </w:r>
            <w:r>
              <w:rPr>
                <w:szCs w:val="21"/>
              </w:rPr>
              <w:t>MARPOL73/78</w:t>
            </w:r>
            <w:r>
              <w:rPr>
                <w:rFonts w:hint="eastAsia"/>
                <w:szCs w:val="21"/>
              </w:rPr>
              <w:t>公约附则Ⅴ和</w:t>
            </w:r>
            <w:r>
              <w:rPr>
                <w:szCs w:val="21"/>
              </w:rPr>
              <w:t>GB3552-83</w:t>
            </w:r>
            <w:r>
              <w:rPr>
                <w:rFonts w:hint="eastAsia"/>
                <w:szCs w:val="21"/>
              </w:rPr>
              <w:t>《船舶污染物排放标准》的相应要求进行控制。</w:t>
            </w:r>
          </w:p>
          <w:p>
            <w:pPr>
              <w:numPr>
                <w:ilvl w:val="0"/>
                <w:numId w:val="5"/>
              </w:numPr>
              <w:adjustRightInd w:val="0"/>
              <w:snapToGrid w:val="0"/>
              <w:spacing w:line="276" w:lineRule="auto"/>
              <w:ind w:left="220" w:leftChars="105" w:firstLine="0"/>
              <w:contextualSpacing/>
              <w:jc w:val="left"/>
              <w:rPr>
                <w:szCs w:val="21"/>
              </w:rPr>
            </w:pPr>
            <w:r>
              <w:rPr>
                <w:rFonts w:hint="eastAsia"/>
                <w:szCs w:val="21"/>
              </w:rPr>
              <w:t>抛泥处置：严禁向水体抛洒，淤泥堆放位置要远离水体。经干晒处理后，其土方可用于填造陆地。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tcBorders>
              <w:top w:val="single" w:color="auto" w:sz="4" w:space="0"/>
              <w:left w:val="nil"/>
              <w:bottom w:val="single" w:color="auto" w:sz="4" w:space="0"/>
              <w:right w:val="single" w:color="auto" w:sz="4" w:space="0"/>
            </w:tcBorders>
            <w:vAlign w:val="center"/>
          </w:tcPr>
          <w:p>
            <w:pPr>
              <w:snapToGrid w:val="0"/>
              <w:spacing w:line="276" w:lineRule="auto"/>
              <w:contextualSpacing/>
              <w:jc w:val="center"/>
              <w:rPr>
                <w:szCs w:val="21"/>
              </w:rPr>
            </w:pPr>
            <w:r>
              <w:rPr>
                <w:rFonts w:hint="eastAsia"/>
                <w:szCs w:val="21"/>
              </w:rPr>
              <w:t>生态环境</w:t>
            </w:r>
          </w:p>
        </w:tc>
        <w:tc>
          <w:tcPr>
            <w:tcW w:w="4485" w:type="pct"/>
            <w:tcBorders>
              <w:top w:val="single" w:color="auto" w:sz="4" w:space="0"/>
              <w:left w:val="single" w:color="auto" w:sz="4" w:space="0"/>
              <w:bottom w:val="single" w:color="auto" w:sz="4" w:space="0"/>
              <w:right w:val="nil"/>
            </w:tcBorders>
            <w:vAlign w:val="center"/>
          </w:tcPr>
          <w:p>
            <w:pPr>
              <w:numPr>
                <w:ilvl w:val="0"/>
                <w:numId w:val="6"/>
              </w:numPr>
              <w:adjustRightInd w:val="0"/>
              <w:snapToGrid w:val="0"/>
              <w:spacing w:line="276" w:lineRule="auto"/>
              <w:ind w:left="220" w:leftChars="105" w:firstLine="0"/>
              <w:contextualSpacing/>
              <w:jc w:val="left"/>
              <w:rPr>
                <w:szCs w:val="21"/>
              </w:rPr>
            </w:pPr>
            <w:r>
              <w:rPr>
                <w:rFonts w:hint="eastAsia"/>
                <w:szCs w:val="21"/>
              </w:rPr>
              <w:t>合理安排施工进度，注意对海洋生物和渔业保护期的回避。</w:t>
            </w:r>
          </w:p>
          <w:p>
            <w:pPr>
              <w:numPr>
                <w:ilvl w:val="0"/>
                <w:numId w:val="6"/>
              </w:numPr>
              <w:adjustRightInd w:val="0"/>
              <w:snapToGrid w:val="0"/>
              <w:spacing w:line="276" w:lineRule="auto"/>
              <w:ind w:left="220" w:leftChars="105" w:firstLine="0"/>
              <w:contextualSpacing/>
              <w:jc w:val="left"/>
              <w:rPr>
                <w:szCs w:val="21"/>
              </w:rPr>
            </w:pPr>
            <w:r>
              <w:rPr>
                <w:rFonts w:hint="eastAsia"/>
                <w:szCs w:val="21"/>
              </w:rPr>
              <w:t>加强营运期对船舶航行的环境管理。控制航道上过往船只的航行速度、严禁鸣笛等措施，尽量降低对生态环境的影响。</w:t>
            </w:r>
          </w:p>
          <w:p>
            <w:pPr>
              <w:numPr>
                <w:ilvl w:val="0"/>
                <w:numId w:val="6"/>
              </w:numPr>
              <w:adjustRightInd w:val="0"/>
              <w:snapToGrid w:val="0"/>
              <w:spacing w:line="276" w:lineRule="auto"/>
              <w:ind w:left="220" w:leftChars="105" w:firstLine="0"/>
              <w:contextualSpacing/>
              <w:jc w:val="left"/>
              <w:rPr>
                <w:szCs w:val="21"/>
              </w:rPr>
            </w:pPr>
            <w:r>
              <w:rPr>
                <w:rFonts w:hint="eastAsia"/>
                <w:szCs w:val="21"/>
              </w:rPr>
              <w:t>航道疏浚的生态防护：基槽、港池疏浚时，尽量采用环保型挖泥船挖泥；在开工前应对泥舱泥门进行严格检查防止泄露；由建设单位负责进行施工过程的环境监控；疏浚淤泥尽量回用，所挖泥沙若需外抛，应提前向当地海洋局提出抛泥申请；严禁施工单位在中途倾倒泥沙。</w:t>
            </w:r>
          </w:p>
          <w:p>
            <w:pPr>
              <w:numPr>
                <w:ilvl w:val="0"/>
                <w:numId w:val="6"/>
              </w:numPr>
              <w:adjustRightInd w:val="0"/>
              <w:snapToGrid w:val="0"/>
              <w:spacing w:line="276" w:lineRule="auto"/>
              <w:ind w:left="220" w:leftChars="105" w:firstLine="0"/>
              <w:contextualSpacing/>
              <w:jc w:val="left"/>
              <w:rPr>
                <w:szCs w:val="21"/>
              </w:rPr>
            </w:pPr>
            <w:r>
              <w:rPr>
                <w:rFonts w:hint="eastAsia"/>
                <w:szCs w:val="21"/>
              </w:rPr>
              <w:t>在港区与集疏运通道开展绿化带建设；在开展港口景观规划设计，进一步优化、美化港口环境。</w:t>
            </w:r>
          </w:p>
          <w:p>
            <w:pPr>
              <w:numPr>
                <w:ilvl w:val="0"/>
                <w:numId w:val="6"/>
              </w:numPr>
              <w:adjustRightInd w:val="0"/>
              <w:snapToGrid w:val="0"/>
              <w:spacing w:line="276" w:lineRule="auto"/>
              <w:ind w:left="220" w:leftChars="105" w:firstLine="0"/>
              <w:contextualSpacing/>
              <w:jc w:val="left"/>
              <w:rPr>
                <w:szCs w:val="21"/>
              </w:rPr>
            </w:pPr>
            <w:r>
              <w:rPr>
                <w:rFonts w:hint="eastAsia"/>
                <w:szCs w:val="21"/>
              </w:rPr>
              <w:t>港口应做好生态补偿工作，在市海洋渔业局的统筹安排下，通过实施人工鱼礁、增殖放流、海岸带湿地的生物恢复等措施进行生态补偿。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28" w:type="dxa"/>
            <w:bottom w:w="0" w:type="dxa"/>
            <w:right w:w="28" w:type="dxa"/>
          </w:tblCellMar>
        </w:tblPrEx>
        <w:trPr>
          <w:jc w:val="center"/>
        </w:trPr>
        <w:tc>
          <w:tcPr>
            <w:tcW w:w="515" w:type="pct"/>
            <w:tcBorders>
              <w:top w:val="single" w:color="auto" w:sz="4" w:space="0"/>
              <w:left w:val="nil"/>
              <w:bottom w:val="single" w:color="auto" w:sz="12" w:space="0"/>
              <w:right w:val="single" w:color="auto" w:sz="4" w:space="0"/>
            </w:tcBorders>
            <w:vAlign w:val="center"/>
          </w:tcPr>
          <w:p>
            <w:pPr>
              <w:snapToGrid w:val="0"/>
              <w:spacing w:line="276" w:lineRule="auto"/>
              <w:contextualSpacing/>
              <w:jc w:val="center"/>
              <w:rPr>
                <w:szCs w:val="21"/>
              </w:rPr>
            </w:pPr>
            <w:r>
              <w:rPr>
                <w:rFonts w:hint="eastAsia"/>
                <w:szCs w:val="21"/>
              </w:rPr>
              <w:t>环境风险</w:t>
            </w:r>
          </w:p>
        </w:tc>
        <w:tc>
          <w:tcPr>
            <w:tcW w:w="4485" w:type="pct"/>
            <w:tcBorders>
              <w:top w:val="single" w:color="auto" w:sz="4" w:space="0"/>
              <w:left w:val="single" w:color="auto" w:sz="4" w:space="0"/>
              <w:bottom w:val="single" w:color="auto" w:sz="12" w:space="0"/>
              <w:right w:val="nil"/>
            </w:tcBorders>
            <w:vAlign w:val="center"/>
          </w:tcPr>
          <w:p>
            <w:pPr>
              <w:numPr>
                <w:ilvl w:val="0"/>
                <w:numId w:val="7"/>
              </w:numPr>
              <w:adjustRightInd w:val="0"/>
              <w:snapToGrid w:val="0"/>
              <w:spacing w:line="276" w:lineRule="auto"/>
              <w:ind w:left="362" w:firstLine="0"/>
              <w:contextualSpacing/>
              <w:jc w:val="left"/>
              <w:rPr>
                <w:szCs w:val="21"/>
              </w:rPr>
            </w:pPr>
            <w:r>
              <w:rPr>
                <w:rFonts w:hint="eastAsia"/>
                <w:szCs w:val="21"/>
              </w:rPr>
              <w:t>事故风险防范：</w:t>
            </w:r>
          </w:p>
          <w:p>
            <w:pPr>
              <w:snapToGrid w:val="0"/>
              <w:spacing w:line="276" w:lineRule="auto"/>
              <w:contextualSpacing/>
              <w:jc w:val="left"/>
              <w:rPr>
                <w:szCs w:val="21"/>
              </w:rPr>
            </w:pPr>
            <w:r>
              <w:rPr>
                <w:szCs w:val="21"/>
              </w:rPr>
              <w:fldChar w:fldCharType="begin"/>
            </w:r>
            <w:r>
              <w:rPr>
                <w:szCs w:val="21"/>
              </w:rPr>
              <w:instrText xml:space="preserve"> = 1 \* GB3 </w:instrText>
            </w:r>
            <w:r>
              <w:rPr>
                <w:szCs w:val="21"/>
              </w:rPr>
              <w:fldChar w:fldCharType="separate"/>
            </w:r>
            <w:r>
              <w:rPr>
                <w:rFonts w:hint="eastAsia"/>
                <w:szCs w:val="21"/>
              </w:rPr>
              <w:t>①</w:t>
            </w:r>
            <w:r>
              <w:rPr>
                <w:szCs w:val="21"/>
              </w:rPr>
              <w:fldChar w:fldCharType="end"/>
            </w:r>
            <w:r>
              <w:rPr>
                <w:rFonts w:hint="eastAsia"/>
                <w:szCs w:val="21"/>
              </w:rPr>
              <w:t>各作业区选择风、浪较小的天气条件进行加油作业。</w:t>
            </w:r>
          </w:p>
          <w:p>
            <w:pPr>
              <w:snapToGrid w:val="0"/>
              <w:spacing w:line="276" w:lineRule="auto"/>
              <w:ind w:left="220" w:leftChars="105"/>
              <w:contextualSpacing/>
              <w:jc w:val="left"/>
              <w:rPr>
                <w:szCs w:val="21"/>
              </w:rPr>
            </w:pPr>
            <w:r>
              <w:rPr>
                <w:rFonts w:hint="eastAsia" w:ascii="宋体" w:hAnsi="宋体" w:cs="宋体"/>
                <w:szCs w:val="21"/>
              </w:rPr>
              <w:t>②</w:t>
            </w:r>
            <w:r>
              <w:rPr>
                <w:rFonts w:hint="eastAsia"/>
                <w:szCs w:val="21"/>
              </w:rPr>
              <w:t>建立企业溢油应急设备库，配备溢油应急设备。</w:t>
            </w:r>
          </w:p>
          <w:p>
            <w:pPr>
              <w:snapToGrid w:val="0"/>
              <w:spacing w:line="276" w:lineRule="auto"/>
              <w:ind w:left="220" w:leftChars="105"/>
              <w:contextualSpacing/>
              <w:jc w:val="left"/>
              <w:rPr>
                <w:szCs w:val="21"/>
              </w:rPr>
            </w:pPr>
            <w:r>
              <w:rPr>
                <w:rFonts w:hint="eastAsia" w:ascii="宋体" w:hAnsi="宋体" w:cs="宋体"/>
                <w:szCs w:val="21"/>
              </w:rPr>
              <w:t>③</w:t>
            </w:r>
            <w:r>
              <w:rPr>
                <w:rFonts w:hint="eastAsia"/>
                <w:szCs w:val="21"/>
              </w:rPr>
              <w:t>在溢油风险较高的港区建议配备</w:t>
            </w:r>
            <w:r>
              <w:rPr>
                <w:szCs w:val="21"/>
              </w:rPr>
              <w:t>1</w:t>
            </w:r>
            <w:r>
              <w:rPr>
                <w:rFonts w:hint="eastAsia"/>
                <w:szCs w:val="21"/>
              </w:rPr>
              <w:t>艘专业溢油应急船舶。</w:t>
            </w:r>
          </w:p>
          <w:p>
            <w:pPr>
              <w:snapToGrid w:val="0"/>
              <w:spacing w:line="276" w:lineRule="auto"/>
              <w:ind w:left="220" w:leftChars="105"/>
              <w:contextualSpacing/>
              <w:jc w:val="left"/>
              <w:rPr>
                <w:szCs w:val="21"/>
              </w:rPr>
            </w:pPr>
            <w:r>
              <w:rPr>
                <w:szCs w:val="21"/>
              </w:rPr>
              <w:fldChar w:fldCharType="begin"/>
            </w:r>
            <w:r>
              <w:rPr>
                <w:szCs w:val="21"/>
              </w:rPr>
              <w:instrText xml:space="preserve"> = 4 \* GB3 </w:instrText>
            </w:r>
            <w:r>
              <w:rPr>
                <w:szCs w:val="21"/>
              </w:rPr>
              <w:fldChar w:fldCharType="separate"/>
            </w:r>
            <w:r>
              <w:rPr>
                <w:rFonts w:hint="eastAsia"/>
                <w:szCs w:val="21"/>
              </w:rPr>
              <w:t>④</w:t>
            </w:r>
            <w:r>
              <w:rPr>
                <w:szCs w:val="21"/>
              </w:rPr>
              <w:fldChar w:fldCharType="end"/>
            </w:r>
            <w:r>
              <w:rPr>
                <w:rFonts w:hint="eastAsia"/>
                <w:szCs w:val="21"/>
              </w:rPr>
              <w:t>化学品码头设计应依据相关的化工运输、罐区储存、码头装卸等规范进行，防止危险化学品泄漏后，流入附近海域。</w:t>
            </w:r>
          </w:p>
          <w:p>
            <w:pPr>
              <w:snapToGrid w:val="0"/>
              <w:spacing w:line="276" w:lineRule="auto"/>
              <w:ind w:left="220" w:leftChars="105"/>
              <w:contextualSpacing/>
              <w:jc w:val="left"/>
              <w:rPr>
                <w:szCs w:val="21"/>
              </w:rPr>
            </w:pPr>
            <w:r>
              <w:rPr>
                <w:szCs w:val="21"/>
              </w:rPr>
              <w:fldChar w:fldCharType="begin"/>
            </w:r>
            <w:r>
              <w:rPr>
                <w:szCs w:val="21"/>
              </w:rPr>
              <w:instrText xml:space="preserve"> = 5 \* GB3 </w:instrText>
            </w:r>
            <w:r>
              <w:rPr>
                <w:szCs w:val="21"/>
              </w:rPr>
              <w:fldChar w:fldCharType="separate"/>
            </w:r>
            <w:r>
              <w:rPr>
                <w:rFonts w:hint="eastAsia"/>
                <w:szCs w:val="21"/>
              </w:rPr>
              <w:t>⑤</w:t>
            </w:r>
            <w:r>
              <w:rPr>
                <w:szCs w:val="21"/>
              </w:rPr>
              <w:fldChar w:fldCharType="end"/>
            </w:r>
            <w:r>
              <w:rPr>
                <w:rFonts w:hint="eastAsia"/>
                <w:szCs w:val="21"/>
              </w:rPr>
              <w:t>建立专业的现场应急队伍，成立应急专家组。</w:t>
            </w:r>
          </w:p>
          <w:p>
            <w:pPr>
              <w:numPr>
                <w:ilvl w:val="0"/>
                <w:numId w:val="7"/>
              </w:numPr>
              <w:adjustRightInd w:val="0"/>
              <w:snapToGrid w:val="0"/>
              <w:spacing w:line="276" w:lineRule="auto"/>
              <w:ind w:left="362" w:firstLine="0"/>
              <w:contextualSpacing/>
              <w:jc w:val="left"/>
              <w:rPr>
                <w:szCs w:val="21"/>
              </w:rPr>
            </w:pPr>
            <w:r>
              <w:rPr>
                <w:rFonts w:hint="eastAsia"/>
                <w:szCs w:val="21"/>
              </w:rPr>
              <w:t>管理防范措施</w:t>
            </w:r>
          </w:p>
          <w:p>
            <w:pPr>
              <w:snapToGrid w:val="0"/>
              <w:spacing w:line="276" w:lineRule="auto"/>
              <w:contextualSpacing/>
              <w:jc w:val="left"/>
              <w:rPr>
                <w:szCs w:val="21"/>
              </w:rPr>
            </w:pPr>
            <w:r>
              <w:rPr>
                <w:szCs w:val="21"/>
              </w:rPr>
              <w:fldChar w:fldCharType="begin"/>
            </w:r>
            <w:r>
              <w:rPr>
                <w:szCs w:val="21"/>
              </w:rPr>
              <w:instrText xml:space="preserve"> = 1 \* GB3 </w:instrText>
            </w:r>
            <w:r>
              <w:rPr>
                <w:szCs w:val="21"/>
              </w:rPr>
              <w:fldChar w:fldCharType="separate"/>
            </w:r>
            <w:r>
              <w:rPr>
                <w:rFonts w:hint="eastAsia"/>
                <w:szCs w:val="21"/>
              </w:rPr>
              <w:t>①</w:t>
            </w:r>
            <w:r>
              <w:rPr>
                <w:szCs w:val="21"/>
              </w:rPr>
              <w:fldChar w:fldCharType="end"/>
            </w:r>
            <w:r>
              <w:rPr>
                <w:rFonts w:hint="eastAsia"/>
                <w:szCs w:val="21"/>
              </w:rPr>
              <w:t>各作业区加强环保宣传教育，提高船员和全体人员的环保意识。</w:t>
            </w:r>
          </w:p>
          <w:p>
            <w:pPr>
              <w:snapToGrid w:val="0"/>
              <w:spacing w:line="276" w:lineRule="auto"/>
              <w:ind w:left="220" w:leftChars="105"/>
              <w:contextualSpacing/>
              <w:jc w:val="left"/>
              <w:rPr>
                <w:szCs w:val="21"/>
              </w:rPr>
            </w:pPr>
            <w:r>
              <w:rPr>
                <w:rFonts w:hint="eastAsia" w:ascii="宋体" w:hAnsi="宋体" w:cs="宋体"/>
                <w:szCs w:val="21"/>
              </w:rPr>
              <w:t>②</w:t>
            </w:r>
            <w:r>
              <w:rPr>
                <w:rFonts w:hint="eastAsia"/>
                <w:szCs w:val="21"/>
              </w:rPr>
              <w:t>各作业区制定一整套严格的安全生产操作规章制度。</w:t>
            </w:r>
          </w:p>
          <w:p>
            <w:pPr>
              <w:snapToGrid w:val="0"/>
              <w:spacing w:line="276" w:lineRule="auto"/>
              <w:ind w:left="220" w:leftChars="105"/>
              <w:contextualSpacing/>
              <w:jc w:val="left"/>
              <w:rPr>
                <w:szCs w:val="21"/>
              </w:rPr>
            </w:pPr>
            <w:r>
              <w:rPr>
                <w:szCs w:val="21"/>
              </w:rPr>
              <w:fldChar w:fldCharType="begin"/>
            </w:r>
            <w:r>
              <w:rPr>
                <w:szCs w:val="21"/>
              </w:rPr>
              <w:instrText xml:space="preserve"> = 3 \* GB3 </w:instrText>
            </w:r>
            <w:r>
              <w:rPr>
                <w:szCs w:val="21"/>
              </w:rPr>
              <w:fldChar w:fldCharType="separate"/>
            </w:r>
            <w:r>
              <w:rPr>
                <w:rFonts w:hint="eastAsia"/>
                <w:szCs w:val="21"/>
              </w:rPr>
              <w:t>③</w:t>
            </w:r>
            <w:r>
              <w:rPr>
                <w:szCs w:val="21"/>
              </w:rPr>
              <w:fldChar w:fldCharType="end"/>
            </w:r>
            <w:r>
              <w:rPr>
                <w:rFonts w:hint="eastAsia"/>
                <w:szCs w:val="21"/>
              </w:rPr>
              <w:t>根据“国际危险货物运输规则”和我国的《危险化学品安全管理条例》的应急反应规定，建议秦皇岛港制定相应的应急反应计划，建立指挥协调机构。</w:t>
            </w:r>
          </w:p>
          <w:p>
            <w:pPr>
              <w:numPr>
                <w:ilvl w:val="0"/>
                <w:numId w:val="7"/>
              </w:numPr>
              <w:adjustRightInd w:val="0"/>
              <w:snapToGrid w:val="0"/>
              <w:spacing w:line="276" w:lineRule="auto"/>
              <w:ind w:firstLine="0"/>
              <w:contextualSpacing/>
              <w:jc w:val="left"/>
              <w:rPr>
                <w:szCs w:val="21"/>
              </w:rPr>
            </w:pPr>
            <w:r>
              <w:rPr>
                <w:rFonts w:hint="eastAsia"/>
                <w:szCs w:val="21"/>
              </w:rPr>
              <w:t>应急措施</w:t>
            </w:r>
          </w:p>
          <w:p>
            <w:pPr>
              <w:snapToGrid w:val="0"/>
              <w:spacing w:line="276" w:lineRule="auto"/>
              <w:ind w:left="220" w:leftChars="105"/>
              <w:contextualSpacing/>
              <w:jc w:val="left"/>
              <w:rPr>
                <w:szCs w:val="21"/>
              </w:rPr>
            </w:pPr>
            <w:r>
              <w:rPr>
                <w:rFonts w:hint="eastAsia" w:ascii="宋体" w:hAnsi="宋体" w:cs="宋体"/>
                <w:szCs w:val="21"/>
              </w:rPr>
              <w:t>①</w:t>
            </w:r>
            <w:r>
              <w:rPr>
                <w:rFonts w:hint="eastAsia"/>
                <w:szCs w:val="21"/>
              </w:rPr>
              <w:t>若出现溢油事故，各作业区应迅速上报沧州海事局，由海事局统一指挥，开展溢油应急清污工作。</w:t>
            </w:r>
          </w:p>
          <w:p>
            <w:pPr>
              <w:snapToGrid w:val="0"/>
              <w:spacing w:line="276" w:lineRule="auto"/>
              <w:ind w:left="220" w:leftChars="105"/>
              <w:contextualSpacing/>
              <w:jc w:val="left"/>
              <w:rPr>
                <w:szCs w:val="21"/>
              </w:rPr>
            </w:pPr>
            <w:r>
              <w:rPr>
                <w:rFonts w:hint="eastAsia" w:ascii="宋体" w:hAnsi="宋体" w:cs="宋体"/>
                <w:szCs w:val="21"/>
              </w:rPr>
              <w:t>②</w:t>
            </w:r>
            <w:r>
              <w:rPr>
                <w:rFonts w:hint="eastAsia"/>
                <w:szCs w:val="21"/>
              </w:rPr>
              <w:t>各港区同时配备报警系统及必要的通信器材，以便及时与溢油应急指挥中心、港建、环境管理部门等有关单位建立联系，及时采取应急措施。</w:t>
            </w:r>
          </w:p>
        </w:tc>
      </w:tr>
    </w:tbl>
    <w:p>
      <w:pPr>
        <w:pStyle w:val="5"/>
        <w:spacing w:before="240" w:after="240" w:line="360" w:lineRule="auto"/>
        <w:rPr>
          <w:sz w:val="28"/>
          <w:szCs w:val="28"/>
        </w:rPr>
      </w:pPr>
      <w:bookmarkStart w:id="3" w:name="_Toc117535621"/>
      <w:r>
        <w:rPr>
          <w:rFonts w:hint="eastAsia"/>
          <w:sz w:val="28"/>
          <w:szCs w:val="28"/>
        </w:rPr>
        <w:t>四、</w:t>
      </w:r>
      <w:r>
        <w:rPr>
          <w:sz w:val="28"/>
          <w:szCs w:val="28"/>
        </w:rPr>
        <w:t>规划优化调整和实施建议</w:t>
      </w:r>
      <w:bookmarkEnd w:id="3"/>
    </w:p>
    <w:p>
      <w:pPr>
        <w:spacing w:beforeLines="50" w:afterLines="50" w:line="360" w:lineRule="auto"/>
        <w:outlineLvl w:val="2"/>
        <w:rPr>
          <w:rFonts w:eastAsia="黑体"/>
          <w:kern w:val="0"/>
          <w:sz w:val="28"/>
          <w:szCs w:val="28"/>
        </w:rPr>
      </w:pPr>
      <w:bookmarkStart w:id="4" w:name="_Toc171310109"/>
      <w:bookmarkStart w:id="5" w:name="_Toc295666833"/>
      <w:bookmarkStart w:id="6" w:name="_Toc420939019"/>
      <w:bookmarkStart w:id="7" w:name="_Toc225824611"/>
      <w:bookmarkStart w:id="8" w:name="_Toc225824612"/>
      <w:bookmarkStart w:id="9" w:name="_Toc403681055"/>
      <w:bookmarkStart w:id="10" w:name="_Toc384106959"/>
      <w:bookmarkStart w:id="11" w:name="_Toc384106605"/>
      <w:r>
        <w:rPr>
          <w:rFonts w:eastAsia="黑体"/>
          <w:kern w:val="0"/>
          <w:sz w:val="28"/>
          <w:szCs w:val="28"/>
        </w:rPr>
        <w:t>1</w:t>
      </w:r>
      <w:r>
        <w:rPr>
          <w:rFonts w:hint="eastAsia" w:eastAsia="黑体"/>
          <w:kern w:val="0"/>
          <w:sz w:val="28"/>
          <w:szCs w:val="28"/>
        </w:rPr>
        <w:t>、</w:t>
      </w:r>
      <w:r>
        <w:rPr>
          <w:rFonts w:eastAsia="黑体"/>
          <w:kern w:val="0"/>
          <w:sz w:val="28"/>
          <w:szCs w:val="28"/>
        </w:rPr>
        <w:t>规划方案优化调整建议</w:t>
      </w:r>
    </w:p>
    <w:bookmarkEnd w:id="4"/>
    <w:bookmarkEnd w:id="5"/>
    <w:bookmarkEnd w:id="6"/>
    <w:bookmarkEnd w:id="7"/>
    <w:bookmarkEnd w:id="8"/>
    <w:p>
      <w:pPr>
        <w:pStyle w:val="21"/>
        <w:ind w:firstLine="560"/>
        <w:rPr>
          <w:sz w:val="28"/>
          <w:szCs w:val="28"/>
        </w:rPr>
      </w:pPr>
      <w:bookmarkStart w:id="12" w:name="_Toc26512245"/>
      <w:bookmarkStart w:id="13" w:name="_Toc117535622"/>
      <w:r>
        <w:rPr>
          <w:sz w:val="28"/>
          <w:szCs w:val="28"/>
        </w:rPr>
        <w:t>（一）进一步优化港区布置方案，避让生态敏感区</w:t>
      </w:r>
    </w:p>
    <w:p>
      <w:pPr>
        <w:pStyle w:val="21"/>
        <w:ind w:firstLine="560"/>
        <w:rPr>
          <w:sz w:val="28"/>
          <w:szCs w:val="28"/>
        </w:rPr>
      </w:pPr>
      <w:r>
        <w:rPr>
          <w:sz w:val="28"/>
          <w:szCs w:val="28"/>
        </w:rPr>
        <w:t>以习近平生态文明思想为指导，坚持生态优先、节约集约，绿色低碳发展，处理好生态环境保护与港口发展的关系，以高品质生态环境支撑高质量发展，合理控制港口开发规模与强度，不得占用依法应当禁止开发的区域，优先避让</w:t>
      </w:r>
      <w:r>
        <w:rPr>
          <w:rFonts w:hint="eastAsia"/>
          <w:sz w:val="28"/>
          <w:szCs w:val="28"/>
        </w:rPr>
        <w:t>山海关国家级风景名胜区</w:t>
      </w:r>
      <w:r>
        <w:rPr>
          <w:sz w:val="28"/>
          <w:szCs w:val="28"/>
        </w:rPr>
        <w:t>等生态</w:t>
      </w:r>
      <w:r>
        <w:rPr>
          <w:rFonts w:hint="eastAsia"/>
          <w:sz w:val="28"/>
          <w:szCs w:val="28"/>
        </w:rPr>
        <w:t>敏感目标，以及石河口滨海湿地生态等敏感生境</w:t>
      </w:r>
      <w:r>
        <w:rPr>
          <w:sz w:val="28"/>
          <w:szCs w:val="28"/>
        </w:rPr>
        <w:t>，采取严格的生态保护和修复措施，确保符合区域生态环境质量改善要求。合理安排港口开发建设时序，确保优化后的《规划》符合绿色低碳发展要求。</w:t>
      </w:r>
    </w:p>
    <w:p>
      <w:pPr>
        <w:pStyle w:val="21"/>
        <w:ind w:firstLine="560"/>
        <w:rPr>
          <w:sz w:val="28"/>
          <w:szCs w:val="28"/>
        </w:rPr>
      </w:pPr>
      <w:r>
        <w:rPr>
          <w:sz w:val="28"/>
          <w:szCs w:val="28"/>
        </w:rPr>
        <w:t>（二）进一步明确危险品集装箱</w:t>
      </w:r>
      <w:r>
        <w:rPr>
          <w:rFonts w:hint="eastAsia"/>
          <w:sz w:val="28"/>
          <w:szCs w:val="28"/>
        </w:rPr>
        <w:t>堆场等相关</w:t>
      </w:r>
      <w:r>
        <w:rPr>
          <w:sz w:val="28"/>
          <w:szCs w:val="28"/>
        </w:rPr>
        <w:t>功能</w:t>
      </w:r>
    </w:p>
    <w:p>
      <w:pPr>
        <w:pStyle w:val="21"/>
        <w:ind w:firstLine="560"/>
        <w:rPr>
          <w:sz w:val="28"/>
          <w:szCs w:val="28"/>
        </w:rPr>
      </w:pPr>
      <w:r>
        <w:rPr>
          <w:rFonts w:hint="eastAsia"/>
          <w:sz w:val="28"/>
          <w:szCs w:val="28"/>
        </w:rPr>
        <w:t>秦皇岛港现状的集装箱运输均位于西港区，存在少量危险品集装箱（主要为烧碱等），但未设置危险品集装箱堆场，均为卸船后直接运走。规划实施后，西港区集装箱运输略有增加，山海关港区新增</w:t>
      </w:r>
      <w:r>
        <w:rPr>
          <w:sz w:val="28"/>
          <w:szCs w:val="28"/>
        </w:rPr>
        <w:t>集装箱运输功能</w:t>
      </w:r>
      <w:r>
        <w:rPr>
          <w:rFonts w:hint="eastAsia"/>
          <w:sz w:val="28"/>
          <w:szCs w:val="28"/>
        </w:rPr>
        <w:t>。从目前规划方案来看，未明确规划期山海关集装箱码头区是否存在危险品集装箱运输和是否布置危险品集装箱堆场</w:t>
      </w:r>
      <w:r>
        <w:rPr>
          <w:sz w:val="28"/>
          <w:szCs w:val="28"/>
        </w:rPr>
        <w:t>。建议</w:t>
      </w:r>
      <w:r>
        <w:rPr>
          <w:rFonts w:hint="eastAsia"/>
          <w:sz w:val="28"/>
          <w:szCs w:val="28"/>
        </w:rPr>
        <w:t>规划方案</w:t>
      </w:r>
      <w:r>
        <w:rPr>
          <w:sz w:val="28"/>
          <w:szCs w:val="28"/>
        </w:rPr>
        <w:t>进一步明确</w:t>
      </w:r>
      <w:r>
        <w:rPr>
          <w:rFonts w:hint="eastAsia"/>
          <w:sz w:val="28"/>
          <w:szCs w:val="28"/>
        </w:rPr>
        <w:t>是否存在</w:t>
      </w:r>
      <w:r>
        <w:rPr>
          <w:sz w:val="28"/>
          <w:szCs w:val="28"/>
        </w:rPr>
        <w:t>危险品集装箱</w:t>
      </w:r>
      <w:r>
        <w:rPr>
          <w:rFonts w:hint="eastAsia"/>
          <w:sz w:val="28"/>
          <w:szCs w:val="28"/>
        </w:rPr>
        <w:t>运输功能，如果存在则需布设专门的危险品集装箱堆场，保留足够的安全距离，配备相应的应急防护设备和人员</w:t>
      </w:r>
      <w:r>
        <w:rPr>
          <w:sz w:val="28"/>
          <w:szCs w:val="28"/>
        </w:rPr>
        <w:t>，降低可能存在的环境风险。</w:t>
      </w:r>
    </w:p>
    <w:p>
      <w:pPr>
        <w:pStyle w:val="16"/>
        <w:snapToGrid w:val="0"/>
        <w:spacing w:before="120" w:after="120"/>
      </w:pPr>
      <w:r>
        <w:t>2</w:t>
      </w:r>
      <w:r>
        <w:rPr>
          <w:rFonts w:hint="eastAsia"/>
        </w:rPr>
        <w:t>、</w:t>
      </w:r>
      <w:r>
        <w:t>规划实施建议</w:t>
      </w:r>
    </w:p>
    <w:p>
      <w:pPr>
        <w:snapToGrid w:val="0"/>
        <w:spacing w:after="120" w:line="360" w:lineRule="auto"/>
        <w:ind w:firstLine="562" w:firstLineChars="200"/>
        <w:rPr>
          <w:rFonts w:ascii="Times New Roman" w:hAnsi="Times New Roman"/>
          <w:b/>
          <w:snapToGrid w:val="0"/>
          <w:sz w:val="28"/>
          <w:szCs w:val="28"/>
          <w:lang w:val="zh-CN" w:bidi="en-US"/>
        </w:rPr>
      </w:pPr>
      <w:r>
        <w:rPr>
          <w:rFonts w:ascii="Times New Roman" w:hAnsi="Times New Roman"/>
          <w:b/>
          <w:snapToGrid w:val="0"/>
          <w:sz w:val="28"/>
          <w:szCs w:val="28"/>
          <w:lang w:val="zh-CN" w:bidi="en-US"/>
        </w:rPr>
        <w:t>（一）</w:t>
      </w:r>
      <w:r>
        <w:rPr>
          <w:rFonts w:hint="eastAsia" w:ascii="Times New Roman" w:hAnsi="Times New Roman"/>
          <w:b/>
          <w:snapToGrid w:val="0"/>
          <w:sz w:val="28"/>
          <w:szCs w:val="28"/>
          <w:lang w:val="zh-CN" w:bidi="en-US"/>
        </w:rPr>
        <w:t>涉海工程</w:t>
      </w:r>
      <w:r>
        <w:rPr>
          <w:rFonts w:ascii="Times New Roman" w:hAnsi="Times New Roman"/>
          <w:b/>
          <w:snapToGrid w:val="0"/>
          <w:sz w:val="28"/>
          <w:szCs w:val="28"/>
          <w:lang w:val="zh-CN" w:bidi="en-US"/>
        </w:rPr>
        <w:t>禁止围填海</w:t>
      </w:r>
    </w:p>
    <w:p>
      <w:pPr>
        <w:pStyle w:val="21"/>
        <w:spacing w:before="120"/>
        <w:ind w:firstLine="560"/>
        <w:rPr>
          <w:sz w:val="28"/>
          <w:szCs w:val="28"/>
        </w:rPr>
      </w:pPr>
      <w:r>
        <w:rPr>
          <w:sz w:val="28"/>
          <w:szCs w:val="28"/>
        </w:rPr>
        <w:t>总体上，本次</w:t>
      </w:r>
      <w:r>
        <w:rPr>
          <w:rFonts w:hint="eastAsia"/>
          <w:sz w:val="28"/>
          <w:szCs w:val="28"/>
        </w:rPr>
        <w:t>秦皇岛港总体规划实施后没有</w:t>
      </w:r>
      <w:r>
        <w:rPr>
          <w:sz w:val="28"/>
          <w:szCs w:val="28"/>
        </w:rPr>
        <w:t>新增</w:t>
      </w:r>
      <w:r>
        <w:rPr>
          <w:rFonts w:hint="eastAsia"/>
          <w:sz w:val="28"/>
          <w:szCs w:val="28"/>
        </w:rPr>
        <w:t>围填海工程，但码头/防波堤等水工结构必不可少会占用一定水域面积</w:t>
      </w:r>
      <w:r>
        <w:rPr>
          <w:sz w:val="28"/>
          <w:szCs w:val="28"/>
        </w:rPr>
        <w:t>，在规划实施过程中，应严格按照《国务院关于加强滨海湿地保护严格管控围填海的通知》（国发〔2018〕24号）的相关要求禁止围填海工程，前沿码头区施工时应加强生态保护修复，开展生态补偿措施，降低码头施工对海洋生态系统的影响。</w:t>
      </w:r>
    </w:p>
    <w:p>
      <w:pPr>
        <w:snapToGrid w:val="0"/>
        <w:spacing w:after="120" w:line="360" w:lineRule="auto"/>
        <w:ind w:firstLine="562" w:firstLineChars="200"/>
        <w:rPr>
          <w:rFonts w:ascii="Times New Roman" w:hAnsi="Times New Roman"/>
          <w:b/>
          <w:snapToGrid w:val="0"/>
          <w:sz w:val="28"/>
          <w:szCs w:val="28"/>
        </w:rPr>
      </w:pPr>
      <w:r>
        <w:rPr>
          <w:rFonts w:ascii="Times New Roman" w:hAnsi="Times New Roman"/>
          <w:b/>
          <w:snapToGrid w:val="0"/>
          <w:sz w:val="28"/>
          <w:szCs w:val="28"/>
        </w:rPr>
        <w:t>（</w:t>
      </w:r>
      <w:r>
        <w:rPr>
          <w:rFonts w:hint="eastAsia" w:ascii="Times New Roman" w:hAnsi="Times New Roman"/>
          <w:b/>
          <w:snapToGrid w:val="0"/>
          <w:sz w:val="28"/>
          <w:szCs w:val="28"/>
        </w:rPr>
        <w:t>二</w:t>
      </w:r>
      <w:r>
        <w:rPr>
          <w:rFonts w:ascii="Times New Roman" w:hAnsi="Times New Roman"/>
          <w:b/>
          <w:snapToGrid w:val="0"/>
          <w:sz w:val="28"/>
          <w:szCs w:val="28"/>
        </w:rPr>
        <w:t>）</w:t>
      </w:r>
      <w:r>
        <w:rPr>
          <w:rFonts w:hint="eastAsia" w:ascii="Times New Roman" w:hAnsi="Times New Roman"/>
          <w:b/>
          <w:snapToGrid w:val="0"/>
          <w:sz w:val="28"/>
          <w:szCs w:val="28"/>
        </w:rPr>
        <w:t>加快推进西港区金属矿石/水泥等散货功能转移</w:t>
      </w:r>
    </w:p>
    <w:p>
      <w:pPr>
        <w:snapToGrid w:val="0"/>
        <w:spacing w:after="120" w:line="360" w:lineRule="auto"/>
        <w:ind w:firstLine="560" w:firstLineChars="200"/>
        <w:rPr>
          <w:rFonts w:ascii="Times New Roman" w:hAnsi="Times New Roman"/>
          <w:snapToGrid w:val="0"/>
          <w:sz w:val="28"/>
          <w:szCs w:val="28"/>
        </w:rPr>
      </w:pPr>
      <w:r>
        <w:rPr>
          <w:rFonts w:hint="eastAsia" w:ascii="Times New Roman" w:hAnsi="Times New Roman"/>
          <w:snapToGrid w:val="0"/>
          <w:sz w:val="28"/>
          <w:szCs w:val="28"/>
        </w:rPr>
        <w:t>根据规划方案，在规划期内西港区仍保留了少量的货运功能，其中包括部分干散货运输。为进一步缓解西港区的港城矛盾，建议规划方案进一步优化西港区功能，加快调整西港区金属矿石、水泥等干散货运输功能的转移，远期西港区的货运功能建议取消全部污染型货种，仅保留集装箱，以进一步改善区域环境空气质量，同时也有利于未来西港区邮轮等旅游功能的发挥。</w:t>
      </w:r>
    </w:p>
    <w:p>
      <w:pPr>
        <w:snapToGrid w:val="0"/>
        <w:spacing w:after="120" w:line="360" w:lineRule="auto"/>
        <w:ind w:firstLine="562" w:firstLineChars="200"/>
        <w:rPr>
          <w:rFonts w:ascii="Times New Roman" w:hAnsi="Times New Roman"/>
          <w:b/>
          <w:snapToGrid w:val="0"/>
          <w:sz w:val="28"/>
          <w:szCs w:val="28"/>
        </w:rPr>
      </w:pPr>
      <w:r>
        <w:rPr>
          <w:rFonts w:ascii="Times New Roman" w:hAnsi="Times New Roman"/>
          <w:b/>
          <w:snapToGrid w:val="0"/>
          <w:sz w:val="28"/>
          <w:szCs w:val="28"/>
        </w:rPr>
        <w:t>（</w:t>
      </w:r>
      <w:r>
        <w:rPr>
          <w:rFonts w:hint="eastAsia" w:ascii="Times New Roman" w:hAnsi="Times New Roman"/>
          <w:b/>
          <w:snapToGrid w:val="0"/>
          <w:sz w:val="28"/>
          <w:szCs w:val="28"/>
        </w:rPr>
        <w:t>三</w:t>
      </w:r>
      <w:r>
        <w:rPr>
          <w:rFonts w:ascii="Times New Roman" w:hAnsi="Times New Roman"/>
          <w:b/>
          <w:snapToGrid w:val="0"/>
          <w:sz w:val="28"/>
          <w:szCs w:val="28"/>
        </w:rPr>
        <w:t>）加强环境整改和落实污染防治措施</w:t>
      </w:r>
    </w:p>
    <w:p>
      <w:pPr>
        <w:snapToGrid w:val="0"/>
        <w:spacing w:after="120" w:line="360" w:lineRule="auto"/>
        <w:ind w:firstLine="560" w:firstLineChars="200"/>
        <w:rPr>
          <w:rFonts w:ascii="Times New Roman" w:hAnsi="Times New Roman"/>
          <w:snapToGrid w:val="0"/>
          <w:sz w:val="28"/>
          <w:szCs w:val="28"/>
        </w:rPr>
      </w:pPr>
      <w:r>
        <w:rPr>
          <w:rFonts w:ascii="Times New Roman" w:hAnsi="Times New Roman"/>
          <w:snapToGrid w:val="0"/>
          <w:sz w:val="28"/>
          <w:szCs w:val="28"/>
        </w:rPr>
        <w:t>统筹做好新建码头和现有码头的环境污染防治，落实“以新带老”要求，补齐环境保护短板。优化港区污水及固体废物处理处置方式，集装箱码头区布置建设集装箱洗箱作业区及洗箱水处理站，污水采用收集纳管接入市政管网。完善并落实港口和船舶污染物接收转运及处置设施建设方案，加强全过程监管，确保各类污染物得到妥善处置，强化粉尘污染治理。根据《国际船舶压载水和沉积物控制与管理公约》，增加船舶压载水岸上接收装置建设要求，依法依规加强船舶压载水及沉积物管理，防止外来物种入侵。</w:t>
      </w:r>
    </w:p>
    <w:p>
      <w:pPr>
        <w:snapToGrid w:val="0"/>
        <w:spacing w:after="120" w:line="360" w:lineRule="auto"/>
        <w:ind w:firstLine="562" w:firstLineChars="200"/>
        <w:rPr>
          <w:rFonts w:ascii="Times New Roman" w:hAnsi="Times New Roman"/>
          <w:b/>
          <w:snapToGrid w:val="0"/>
          <w:sz w:val="28"/>
          <w:szCs w:val="28"/>
        </w:rPr>
      </w:pPr>
      <w:r>
        <w:rPr>
          <w:rFonts w:ascii="Times New Roman" w:hAnsi="Times New Roman"/>
          <w:b/>
          <w:snapToGrid w:val="0"/>
          <w:sz w:val="28"/>
          <w:szCs w:val="28"/>
        </w:rPr>
        <w:t>（</w:t>
      </w:r>
      <w:r>
        <w:rPr>
          <w:rFonts w:hint="eastAsia" w:ascii="Times New Roman" w:hAnsi="Times New Roman"/>
          <w:b/>
          <w:snapToGrid w:val="0"/>
          <w:sz w:val="28"/>
          <w:szCs w:val="28"/>
        </w:rPr>
        <w:t>四</w:t>
      </w:r>
      <w:r>
        <w:rPr>
          <w:rFonts w:ascii="Times New Roman" w:hAnsi="Times New Roman"/>
          <w:b/>
          <w:snapToGrid w:val="0"/>
          <w:sz w:val="28"/>
          <w:szCs w:val="28"/>
        </w:rPr>
        <w:t>）加强区域环境风险防范</w:t>
      </w:r>
    </w:p>
    <w:p>
      <w:pPr>
        <w:snapToGrid w:val="0"/>
        <w:spacing w:line="360" w:lineRule="auto"/>
        <w:ind w:firstLine="560" w:firstLineChars="200"/>
        <w:rPr>
          <w:bCs/>
          <w:color w:val="000000"/>
          <w:sz w:val="28"/>
          <w:szCs w:val="28"/>
          <w:lang w:val="zh-CN" w:eastAsia="zh-TW"/>
        </w:rPr>
      </w:pPr>
      <w:r>
        <w:rPr>
          <w:rFonts w:hint="eastAsia" w:ascii="Times New Roman" w:hAnsi="Times New Roman"/>
          <w:snapToGrid w:val="0"/>
          <w:sz w:val="28"/>
          <w:szCs w:val="28"/>
        </w:rPr>
        <w:t>修订</w:t>
      </w:r>
      <w:r>
        <w:rPr>
          <w:rFonts w:ascii="Times New Roman" w:hAnsi="Times New Roman"/>
          <w:snapToGrid w:val="0"/>
          <w:sz w:val="28"/>
          <w:szCs w:val="28"/>
        </w:rPr>
        <w:t>方案实施后，</w:t>
      </w:r>
      <w:r>
        <w:rPr>
          <w:rFonts w:hint="eastAsia" w:ascii="Times New Roman" w:hAnsi="Times New Roman"/>
          <w:snapToGrid w:val="0"/>
          <w:sz w:val="28"/>
          <w:szCs w:val="28"/>
        </w:rPr>
        <w:t>秦皇岛港</w:t>
      </w:r>
      <w:r>
        <w:rPr>
          <w:rFonts w:ascii="Times New Roman" w:hAnsi="Times New Roman"/>
          <w:snapToGrid w:val="0"/>
          <w:sz w:val="28"/>
          <w:szCs w:val="28"/>
        </w:rPr>
        <w:t>吞吐量将有所增加，往来船舶数量增加，船舶大型化趋势发展，船舶污染事故规模有增加的趋势，升级后的码头应根据相关要求配备防污染和应急设备。</w:t>
      </w:r>
      <w:r>
        <w:rPr>
          <w:bCs/>
          <w:color w:val="000000"/>
          <w:sz w:val="28"/>
          <w:szCs w:val="28"/>
          <w:lang w:val="zh-CN" w:eastAsia="zh-TW"/>
        </w:rPr>
        <w:t>提升现有油品、液体化学品码头泊位的风险防控能力，油品</w:t>
      </w:r>
      <w:r>
        <w:rPr>
          <w:rFonts w:hint="eastAsia"/>
          <w:bCs/>
          <w:color w:val="000000"/>
          <w:sz w:val="28"/>
          <w:szCs w:val="28"/>
        </w:rPr>
        <w:t>罐区</w:t>
      </w:r>
      <w:r>
        <w:rPr>
          <w:bCs/>
          <w:color w:val="000000"/>
          <w:sz w:val="28"/>
          <w:szCs w:val="28"/>
          <w:lang w:val="zh-CN" w:eastAsia="zh-TW"/>
        </w:rPr>
        <w:t>按照项目单罐最大罐容建设相匹配的应急事故池。建立健全环境风险三级防控体系，增强区域整体环境风险防控能力，有效防控区域环境风险。加强港区环境风险管理</w:t>
      </w:r>
      <w:r>
        <w:rPr>
          <w:rFonts w:hint="eastAsia"/>
          <w:bCs/>
          <w:color w:val="000000"/>
          <w:sz w:val="28"/>
          <w:szCs w:val="28"/>
          <w:lang w:val="zh-CN" w:eastAsia="zh-TW"/>
        </w:rPr>
        <w:t>，</w:t>
      </w:r>
      <w:r>
        <w:rPr>
          <w:bCs/>
          <w:color w:val="000000"/>
          <w:sz w:val="28"/>
          <w:szCs w:val="28"/>
          <w:lang w:val="zh-CN" w:eastAsia="zh-TW"/>
        </w:rPr>
        <w:t>构建环境污染预报分析和应急决策支持系统，提升快速应急响应能力建设。</w:t>
      </w:r>
    </w:p>
    <w:p>
      <w:pPr>
        <w:snapToGrid w:val="0"/>
        <w:spacing w:line="360" w:lineRule="auto"/>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五</w:t>
      </w:r>
      <w:r>
        <w:rPr>
          <w:rFonts w:ascii="Times New Roman" w:hAnsi="Times New Roman"/>
          <w:b/>
          <w:sz w:val="28"/>
          <w:szCs w:val="28"/>
        </w:rPr>
        <w:t>）大力推广清洁能源利用和提高能耗水平</w:t>
      </w:r>
    </w:p>
    <w:p>
      <w:pPr>
        <w:snapToGrid w:val="0"/>
        <w:spacing w:line="360" w:lineRule="auto"/>
        <w:ind w:firstLine="560" w:firstLineChars="200"/>
        <w:rPr>
          <w:rFonts w:ascii="Times New Roman" w:hAnsi="Times New Roman"/>
          <w:sz w:val="28"/>
          <w:szCs w:val="28"/>
        </w:rPr>
      </w:pPr>
      <w:r>
        <w:rPr>
          <w:rFonts w:ascii="Times New Roman" w:hAnsi="Times New Roman"/>
          <w:sz w:val="28"/>
          <w:szCs w:val="28"/>
        </w:rPr>
        <w:t>随着交通行业碳达峰和碳中和要求的不断提升，</w:t>
      </w:r>
      <w:r>
        <w:rPr>
          <w:rFonts w:hint="eastAsia" w:ascii="Times New Roman" w:hAnsi="Times New Roman"/>
          <w:sz w:val="28"/>
          <w:szCs w:val="28"/>
        </w:rPr>
        <w:t>秦皇岛港</w:t>
      </w:r>
      <w:r>
        <w:rPr>
          <w:rFonts w:ascii="Times New Roman" w:hAnsi="Times New Roman"/>
          <w:sz w:val="28"/>
          <w:szCs w:val="28"/>
        </w:rPr>
        <w:t>应进一步提高港区清洁能源的利用比例，专业化</w:t>
      </w:r>
      <w:r>
        <w:rPr>
          <w:rFonts w:ascii="Times New Roman" w:hAnsi="Times New Roman"/>
          <w:snapToGrid w:val="0"/>
          <w:sz w:val="28"/>
          <w:szCs w:val="28"/>
        </w:rPr>
        <w:t>码头应同步配套建设岸电设施，鼓励建设配套的清洁能源供应设施，</w:t>
      </w:r>
      <w:r>
        <w:rPr>
          <w:rFonts w:ascii="Times New Roman" w:hAnsi="Times New Roman"/>
          <w:sz w:val="28"/>
          <w:szCs w:val="28"/>
        </w:rPr>
        <w:t>大力推广光伏能源、氢能等清洁能源的利用，并加强港区照明和作业的节能技术改造，降低能耗，逐步降低港口企业碳排放强度。</w:t>
      </w:r>
    </w:p>
    <w:p>
      <w:pPr>
        <w:snapToGrid w:val="0"/>
        <w:spacing w:after="120" w:line="360" w:lineRule="auto"/>
        <w:ind w:firstLine="562" w:firstLineChars="200"/>
        <w:rPr>
          <w:rFonts w:ascii="Times New Roman" w:hAnsi="Times New Roman"/>
          <w:b/>
          <w:snapToGrid w:val="0"/>
          <w:sz w:val="28"/>
          <w:szCs w:val="28"/>
        </w:rPr>
      </w:pPr>
      <w:r>
        <w:rPr>
          <w:rFonts w:ascii="Times New Roman" w:hAnsi="Times New Roman"/>
          <w:b/>
          <w:snapToGrid w:val="0"/>
          <w:sz w:val="28"/>
          <w:szCs w:val="28"/>
        </w:rPr>
        <w:t>（</w:t>
      </w:r>
      <w:r>
        <w:rPr>
          <w:rFonts w:hint="eastAsia" w:ascii="Times New Roman" w:hAnsi="Times New Roman"/>
          <w:b/>
          <w:snapToGrid w:val="0"/>
          <w:sz w:val="28"/>
          <w:szCs w:val="28"/>
        </w:rPr>
        <w:t>六</w:t>
      </w:r>
      <w:r>
        <w:rPr>
          <w:rFonts w:ascii="Times New Roman" w:hAnsi="Times New Roman"/>
          <w:b/>
          <w:snapToGrid w:val="0"/>
          <w:sz w:val="28"/>
          <w:szCs w:val="28"/>
        </w:rPr>
        <w:t>）同步规划设计和建设集疏运铁路，构建清洁集疏运体系</w:t>
      </w:r>
    </w:p>
    <w:p>
      <w:pPr>
        <w:pStyle w:val="21"/>
        <w:spacing w:before="120"/>
        <w:ind w:firstLine="560"/>
        <w:rPr>
          <w:sz w:val="28"/>
          <w:szCs w:val="28"/>
        </w:rPr>
      </w:pPr>
      <w:r>
        <w:rPr>
          <w:sz w:val="28"/>
          <w:szCs w:val="28"/>
        </w:rPr>
        <w:t>鼓励构建清洁的集疏运体系，</w:t>
      </w:r>
      <w:r>
        <w:rPr>
          <w:rFonts w:hint="eastAsia"/>
          <w:sz w:val="28"/>
          <w:szCs w:val="28"/>
        </w:rPr>
        <w:t>特别是针对新扩建的山海关港区，</w:t>
      </w:r>
      <w:r>
        <w:rPr>
          <w:sz w:val="28"/>
          <w:szCs w:val="28"/>
        </w:rPr>
        <w:t>加快落实生态环境部、交通运输部等15部委联合印发的《柴油货车污染治理攻坚行动方案》中“在新建或改扩建集装箱、大宗干散货作业区时，原则上要同步建设进港铁路”的要求。相关污染防治措施及要求应纳入《规划》，同步落实。</w:t>
      </w:r>
    </w:p>
    <w:p>
      <w:pPr>
        <w:pStyle w:val="21"/>
        <w:spacing w:before="120"/>
        <w:ind w:firstLine="560"/>
        <w:rPr>
          <w:sz w:val="28"/>
          <w:szCs w:val="28"/>
        </w:rPr>
      </w:pPr>
      <w:r>
        <w:rPr>
          <w:sz w:val="28"/>
          <w:szCs w:val="28"/>
        </w:rPr>
        <w:t>（</w:t>
      </w:r>
      <w:r>
        <w:rPr>
          <w:rFonts w:hint="eastAsia"/>
          <w:sz w:val="28"/>
          <w:szCs w:val="28"/>
        </w:rPr>
        <w:t>七</w:t>
      </w:r>
      <w:r>
        <w:rPr>
          <w:sz w:val="28"/>
          <w:szCs w:val="28"/>
        </w:rPr>
        <w:t>）</w:t>
      </w:r>
      <w:r>
        <w:rPr>
          <w:rFonts w:hint="eastAsia"/>
          <w:sz w:val="28"/>
          <w:szCs w:val="28"/>
        </w:rPr>
        <w:t>秦皇岛港</w:t>
      </w:r>
      <w:r>
        <w:rPr>
          <w:sz w:val="28"/>
          <w:szCs w:val="28"/>
        </w:rPr>
        <w:t>近期建设项目，在开展环境影响评价时，应遵循规划环评主要结论和提出的生态环保措施，重点评价项目实施对</w:t>
      </w:r>
      <w:r>
        <w:rPr>
          <w:sz w:val="28"/>
          <w:szCs w:val="28"/>
          <w:lang w:val="en-US"/>
        </w:rPr>
        <w:t>环境敏感区</w:t>
      </w:r>
      <w:r>
        <w:rPr>
          <w:sz w:val="28"/>
          <w:szCs w:val="28"/>
        </w:rPr>
        <w:t>的影响、</w:t>
      </w:r>
      <w:r>
        <w:rPr>
          <w:sz w:val="28"/>
          <w:szCs w:val="28"/>
          <w:lang w:val="en-US"/>
        </w:rPr>
        <w:t>生态</w:t>
      </w:r>
      <w:r>
        <w:rPr>
          <w:sz w:val="28"/>
          <w:szCs w:val="28"/>
        </w:rPr>
        <w:t>环保措施的可行性及风险防范措施的有效性等内容；</w:t>
      </w:r>
      <w:r>
        <w:rPr>
          <w:sz w:val="28"/>
          <w:szCs w:val="28"/>
          <w:lang w:val="en-US"/>
        </w:rPr>
        <w:t>探索开展温室气体排放评价，推进减污降碳协同增效</w:t>
      </w:r>
      <w:r>
        <w:rPr>
          <w:sz w:val="28"/>
          <w:szCs w:val="28"/>
        </w:rPr>
        <w:t>。</w:t>
      </w:r>
    </w:p>
    <w:p>
      <w:pPr>
        <w:pStyle w:val="21"/>
        <w:spacing w:before="120"/>
        <w:ind w:firstLine="560"/>
        <w:rPr>
          <w:sz w:val="28"/>
          <w:szCs w:val="28"/>
        </w:rPr>
      </w:pPr>
      <w:r>
        <w:rPr>
          <w:kern w:val="2"/>
          <w:sz w:val="28"/>
          <w:szCs w:val="28"/>
          <w:lang w:val="en-US"/>
        </w:rPr>
        <w:t>（</w:t>
      </w:r>
      <w:r>
        <w:rPr>
          <w:rFonts w:hint="eastAsia"/>
          <w:kern w:val="2"/>
          <w:sz w:val="28"/>
          <w:szCs w:val="28"/>
          <w:lang w:val="en-US"/>
        </w:rPr>
        <w:t>八</w:t>
      </w:r>
      <w:r>
        <w:rPr>
          <w:kern w:val="2"/>
          <w:sz w:val="28"/>
          <w:szCs w:val="28"/>
          <w:lang w:val="en-US"/>
        </w:rPr>
        <w:t>）在《规划》实施过程中，规划正式实施五年后应依法开展环境影响跟踪评价，在《规划》修编时应重新编制环境影响报告书。</w:t>
      </w:r>
    </w:p>
    <w:p>
      <w:pPr>
        <w:pStyle w:val="21"/>
        <w:ind w:firstLine="560"/>
        <w:rPr>
          <w:sz w:val="28"/>
          <w:szCs w:val="28"/>
        </w:rPr>
        <w:sectPr>
          <w:footerReference r:id="rId3" w:type="default"/>
          <w:type w:val="continuous"/>
          <w:pgSz w:w="11906" w:h="16838"/>
          <w:pgMar w:top="1440" w:right="1797" w:bottom="1440" w:left="1797" w:header="851" w:footer="992" w:gutter="0"/>
          <w:cols w:space="0" w:num="1"/>
          <w:docGrid w:linePitch="381" w:charSpace="0"/>
        </w:sectPr>
      </w:pPr>
    </w:p>
    <w:p>
      <w:pPr>
        <w:pStyle w:val="19"/>
        <w:spacing w:after="163"/>
        <w:rPr>
          <w:sz w:val="28"/>
        </w:rPr>
      </w:pPr>
      <w:r>
        <w:rPr>
          <w:rFonts w:hint="eastAsia"/>
          <w:sz w:val="28"/>
        </w:rPr>
        <w:t>五、评价结论</w:t>
      </w:r>
      <w:bookmarkEnd w:id="9"/>
      <w:bookmarkEnd w:id="10"/>
      <w:bookmarkEnd w:id="11"/>
      <w:bookmarkEnd w:id="12"/>
      <w:bookmarkEnd w:id="13"/>
    </w:p>
    <w:p>
      <w:pPr>
        <w:pStyle w:val="21"/>
        <w:ind w:firstLine="560"/>
        <w:rPr>
          <w:sz w:val="28"/>
          <w:szCs w:val="28"/>
        </w:rPr>
      </w:pPr>
      <w:r>
        <w:rPr>
          <w:sz w:val="28"/>
          <w:szCs w:val="28"/>
        </w:rPr>
        <w:t>本次</w:t>
      </w:r>
      <w:r>
        <w:rPr>
          <w:rFonts w:hint="eastAsia"/>
          <w:sz w:val="28"/>
          <w:szCs w:val="28"/>
        </w:rPr>
        <w:t>秦皇岛港总体</w:t>
      </w:r>
      <w:r>
        <w:rPr>
          <w:sz w:val="28"/>
          <w:szCs w:val="28"/>
        </w:rPr>
        <w:t>订在港口性质和功能定位、运输货种方面基本遵循</w:t>
      </w:r>
      <w:r>
        <w:rPr>
          <w:rFonts w:hint="eastAsia"/>
          <w:sz w:val="28"/>
          <w:szCs w:val="28"/>
        </w:rPr>
        <w:t>《河北省综合立体交通网规划纲要》</w:t>
      </w:r>
      <w:r>
        <w:rPr>
          <w:rStyle w:val="22"/>
          <w:sz w:val="28"/>
          <w:szCs w:val="28"/>
        </w:rPr>
        <w:t>《</w:t>
      </w:r>
      <w:r>
        <w:rPr>
          <w:rStyle w:val="22"/>
          <w:rFonts w:hint="eastAsia"/>
          <w:sz w:val="28"/>
          <w:szCs w:val="28"/>
        </w:rPr>
        <w:t>河北省沿海港口</w:t>
      </w:r>
      <w:r>
        <w:rPr>
          <w:rStyle w:val="22"/>
          <w:sz w:val="28"/>
          <w:szCs w:val="28"/>
        </w:rPr>
        <w:t>“十四五”发展规划》</w:t>
      </w:r>
      <w:r>
        <w:rPr>
          <w:sz w:val="28"/>
          <w:szCs w:val="28"/>
        </w:rPr>
        <w:t>《</w:t>
      </w:r>
      <w:r>
        <w:rPr>
          <w:rFonts w:hint="eastAsia"/>
          <w:sz w:val="28"/>
          <w:szCs w:val="28"/>
        </w:rPr>
        <w:t>河北省</w:t>
      </w:r>
      <w:r>
        <w:rPr>
          <w:sz w:val="28"/>
          <w:szCs w:val="28"/>
        </w:rPr>
        <w:t>“十四五”综合交通运输规划》等对</w:t>
      </w:r>
      <w:r>
        <w:rPr>
          <w:rFonts w:hint="eastAsia"/>
          <w:sz w:val="28"/>
          <w:szCs w:val="28"/>
        </w:rPr>
        <w:t>秦皇岛港</w:t>
      </w:r>
      <w:r>
        <w:rPr>
          <w:sz w:val="28"/>
          <w:szCs w:val="28"/>
        </w:rPr>
        <w:t>的要求，其建设目标与思路、岸线规划方案等，与《国务院关于加强滨海湿地保护严格管控围填海的通知》《</w:t>
      </w:r>
      <w:r>
        <w:rPr>
          <w:rFonts w:hint="eastAsia"/>
          <w:sz w:val="28"/>
          <w:szCs w:val="28"/>
        </w:rPr>
        <w:t>河北省</w:t>
      </w:r>
      <w:r>
        <w:rPr>
          <w:sz w:val="28"/>
          <w:szCs w:val="28"/>
        </w:rPr>
        <w:t>海洋功能区划》《</w:t>
      </w:r>
      <w:r>
        <w:rPr>
          <w:rFonts w:hint="eastAsia"/>
          <w:sz w:val="28"/>
          <w:szCs w:val="28"/>
        </w:rPr>
        <w:t>河北省</w:t>
      </w:r>
      <w:r>
        <w:rPr>
          <w:sz w:val="28"/>
          <w:szCs w:val="28"/>
        </w:rPr>
        <w:t>近岸海域环境功能区划》</w:t>
      </w:r>
      <w:r>
        <w:rPr>
          <w:rFonts w:hint="eastAsia"/>
          <w:sz w:val="28"/>
          <w:szCs w:val="28"/>
        </w:rPr>
        <w:t>《秦皇岛市国土空间规划》《秦皇岛市“三线一单”生态环境分区管控方案》等的功能定位和空间管控要求</w:t>
      </w:r>
      <w:r>
        <w:rPr>
          <w:sz w:val="28"/>
          <w:szCs w:val="28"/>
        </w:rPr>
        <w:t>。</w:t>
      </w:r>
    </w:p>
    <w:p>
      <w:pPr>
        <w:pStyle w:val="21"/>
        <w:ind w:firstLine="560"/>
        <w:rPr>
          <w:sz w:val="28"/>
          <w:szCs w:val="28"/>
        </w:rPr>
      </w:pPr>
      <w:r>
        <w:rPr>
          <w:rFonts w:hint="eastAsia"/>
          <w:sz w:val="28"/>
          <w:szCs w:val="28"/>
        </w:rPr>
        <w:t>秦皇岛港</w:t>
      </w:r>
      <w:r>
        <w:rPr>
          <w:sz w:val="28"/>
          <w:szCs w:val="28"/>
        </w:rPr>
        <w:t>总体规划实施的资源需求与区域资源承载能力相协调，</w:t>
      </w:r>
      <w:r>
        <w:rPr>
          <w:rFonts w:hint="eastAsia"/>
          <w:sz w:val="28"/>
          <w:szCs w:val="28"/>
        </w:rPr>
        <w:t>规划方案对秦皇岛市市自然保护地、湿地公园、生态红线等敏感区均进行了避让，无新增自然岸线和围填海工程，对区域生态环境的影响较小，在</w:t>
      </w:r>
      <w:r>
        <w:rPr>
          <w:sz w:val="28"/>
          <w:szCs w:val="28"/>
        </w:rPr>
        <w:t>应严格落实本报告提出的规划优化调整建议、环境保护和风险防范措施建议，指导和约束本区域岸线的合理开发。</w:t>
      </w:r>
    </w:p>
    <w:p>
      <w:pPr>
        <w:pStyle w:val="21"/>
        <w:ind w:firstLine="560"/>
        <w:rPr>
          <w:sz w:val="28"/>
          <w:szCs w:val="28"/>
        </w:rPr>
      </w:pPr>
      <w:r>
        <w:rPr>
          <w:sz w:val="28"/>
          <w:szCs w:val="28"/>
        </w:rPr>
        <w:t>总体而言，《</w:t>
      </w:r>
      <w:r>
        <w:rPr>
          <w:rFonts w:hint="eastAsia"/>
          <w:sz w:val="28"/>
          <w:szCs w:val="28"/>
        </w:rPr>
        <w:t>秦皇岛港</w:t>
      </w:r>
      <w:r>
        <w:rPr>
          <w:sz w:val="28"/>
          <w:szCs w:val="28"/>
        </w:rPr>
        <w:t>港总体规划》的实施将进一步促进</w:t>
      </w:r>
      <w:r>
        <w:rPr>
          <w:rFonts w:hint="eastAsia"/>
          <w:sz w:val="28"/>
          <w:szCs w:val="28"/>
        </w:rPr>
        <w:t>秦皇岛市</w:t>
      </w:r>
      <w:r>
        <w:rPr>
          <w:sz w:val="28"/>
          <w:szCs w:val="28"/>
        </w:rPr>
        <w:t>港</w:t>
      </w:r>
      <w:r>
        <w:rPr>
          <w:rFonts w:hint="eastAsia"/>
          <w:snapToGrid w:val="0"/>
          <w:sz w:val="28"/>
          <w:szCs w:val="28"/>
        </w:rPr>
        <w:t>产</w:t>
      </w:r>
      <w:r>
        <w:rPr>
          <w:snapToGrid w:val="0"/>
          <w:sz w:val="28"/>
          <w:szCs w:val="28"/>
        </w:rPr>
        <w:t>协调发展，有利于推进</w:t>
      </w:r>
      <w:r>
        <w:rPr>
          <w:rFonts w:hint="eastAsia"/>
          <w:snapToGrid w:val="0"/>
          <w:sz w:val="28"/>
          <w:szCs w:val="28"/>
        </w:rPr>
        <w:t>京津冀协</w:t>
      </w:r>
      <w:r>
        <w:rPr>
          <w:rFonts w:hint="eastAsia"/>
          <w:snapToGrid w:val="0"/>
          <w:sz w:val="28"/>
          <w:szCs w:val="28"/>
          <w:lang w:eastAsia="zh-CN"/>
        </w:rPr>
        <w:t>同</w:t>
      </w:r>
      <w:bookmarkStart w:id="14" w:name="_GoBack"/>
      <w:bookmarkEnd w:id="14"/>
      <w:r>
        <w:rPr>
          <w:rFonts w:hint="eastAsia"/>
          <w:snapToGrid w:val="0"/>
          <w:sz w:val="28"/>
          <w:szCs w:val="28"/>
        </w:rPr>
        <w:t>发展</w:t>
      </w:r>
      <w:r>
        <w:rPr>
          <w:snapToGrid w:val="0"/>
          <w:sz w:val="28"/>
          <w:szCs w:val="28"/>
        </w:rPr>
        <w:t>等国家战略</w:t>
      </w:r>
      <w:r>
        <w:rPr>
          <w:sz w:val="28"/>
          <w:szCs w:val="28"/>
        </w:rPr>
        <w:t>。在严格落实本次评价提出的规划方案优化调整建议和各种环境保护措施、提高风险事故应急能力，并有效控制环境污染的基础上，规划的实施不会给区域环境承载力带来较大压力，生态影响和环境污染能够得到有效控制，从环境保护角度分析，《</w:t>
      </w:r>
      <w:r>
        <w:rPr>
          <w:rFonts w:hint="eastAsia"/>
          <w:sz w:val="28"/>
          <w:szCs w:val="28"/>
        </w:rPr>
        <w:t>秦皇岛港总体规划</w:t>
      </w:r>
      <w:r>
        <w:rPr>
          <w:sz w:val="28"/>
          <w:szCs w:val="28"/>
        </w:rPr>
        <w:t>》是可行的。</w:t>
      </w:r>
    </w:p>
    <w:p>
      <w:pPr>
        <w:pStyle w:val="19"/>
        <w:spacing w:after="163"/>
      </w:pPr>
      <w:r>
        <w:rPr>
          <w:rFonts w:hint="eastAsia"/>
        </w:rPr>
        <w:t>六</w:t>
      </w:r>
      <w:r>
        <w:t>、征求公众意见的具体内容</w:t>
      </w:r>
    </w:p>
    <w:p>
      <w:pPr>
        <w:pStyle w:val="17"/>
        <w:spacing w:after="0"/>
        <w:ind w:firstLine="560"/>
        <w:contextualSpacing/>
        <w:rPr>
          <w:sz w:val="28"/>
          <w:szCs w:val="28"/>
        </w:rPr>
      </w:pPr>
      <w:r>
        <w:rPr>
          <w:sz w:val="28"/>
          <w:szCs w:val="28"/>
        </w:rPr>
        <w:t>公众可对</w:t>
      </w:r>
      <w:r>
        <w:rPr>
          <w:rFonts w:hint="eastAsia"/>
          <w:sz w:val="28"/>
          <w:szCs w:val="28"/>
        </w:rPr>
        <w:t>《秦皇岛港总体规划</w:t>
      </w:r>
      <w:r>
        <w:rPr>
          <w:sz w:val="28"/>
          <w:szCs w:val="28"/>
        </w:rPr>
        <w:t>环境影响报告书</w:t>
      </w:r>
      <w:r>
        <w:rPr>
          <w:rFonts w:hint="eastAsia"/>
          <w:sz w:val="28"/>
          <w:szCs w:val="28"/>
        </w:rPr>
        <w:t>》</w:t>
      </w:r>
      <w:r>
        <w:rPr>
          <w:sz w:val="28"/>
          <w:szCs w:val="28"/>
        </w:rPr>
        <w:t>，在评价内容是否准确全面、评价结论是否合理及本次总体规划还存在其它环境问题等方面，提出建议或意见。可通过信函、电话等方式向规划编制单位或环评单位反馈意见。</w:t>
      </w:r>
    </w:p>
    <w:p>
      <w:pPr>
        <w:pStyle w:val="17"/>
        <w:spacing w:after="0"/>
        <w:ind w:firstLine="560"/>
        <w:contextualSpacing/>
        <w:rPr>
          <w:sz w:val="28"/>
          <w:szCs w:val="28"/>
        </w:rPr>
      </w:pPr>
      <w:r>
        <w:rPr>
          <w:sz w:val="28"/>
          <w:szCs w:val="28"/>
        </w:rPr>
        <w:t>1、规划编制单位：</w:t>
      </w:r>
      <w:r>
        <w:rPr>
          <w:rFonts w:hint="eastAsia"/>
          <w:sz w:val="28"/>
          <w:szCs w:val="28"/>
        </w:rPr>
        <w:t>秦皇岛市海洋与渔业局</w:t>
      </w:r>
    </w:p>
    <w:p>
      <w:pPr>
        <w:pStyle w:val="17"/>
        <w:spacing w:after="0"/>
        <w:ind w:firstLine="1120" w:firstLineChars="400"/>
        <w:contextualSpacing/>
        <w:rPr>
          <w:sz w:val="28"/>
          <w:szCs w:val="28"/>
        </w:rPr>
      </w:pPr>
      <w:r>
        <w:rPr>
          <w:sz w:val="28"/>
          <w:szCs w:val="28"/>
        </w:rPr>
        <w:t>联系人：</w:t>
      </w:r>
      <w:r>
        <w:rPr>
          <w:rFonts w:hint="eastAsia"/>
          <w:sz w:val="28"/>
          <w:szCs w:val="28"/>
        </w:rPr>
        <w:t>纪成强  </w:t>
      </w:r>
    </w:p>
    <w:p>
      <w:pPr>
        <w:pStyle w:val="17"/>
        <w:spacing w:after="0"/>
        <w:ind w:firstLine="1120" w:firstLineChars="400"/>
        <w:contextualSpacing/>
        <w:rPr>
          <w:sz w:val="28"/>
          <w:szCs w:val="28"/>
        </w:rPr>
      </w:pPr>
      <w:r>
        <w:rPr>
          <w:rFonts w:hint="eastAsia"/>
          <w:sz w:val="28"/>
          <w:szCs w:val="28"/>
        </w:rPr>
        <w:t>电话：15930599911</w:t>
      </w:r>
    </w:p>
    <w:p>
      <w:pPr>
        <w:pStyle w:val="17"/>
        <w:spacing w:after="0"/>
        <w:ind w:firstLine="1120" w:firstLineChars="400"/>
        <w:contextualSpacing/>
        <w:rPr>
          <w:sz w:val="28"/>
          <w:szCs w:val="28"/>
        </w:rPr>
      </w:pPr>
      <w:r>
        <w:rPr>
          <w:rFonts w:hint="eastAsia"/>
          <w:sz w:val="28"/>
          <w:szCs w:val="28"/>
        </w:rPr>
        <w:t>电子邮箱：</w:t>
      </w:r>
      <w:r>
        <w:rPr>
          <w:sz w:val="28"/>
          <w:szCs w:val="28"/>
        </w:rPr>
        <w:t>bigji</w:t>
      </w:r>
      <w:r>
        <w:rPr>
          <w:rFonts w:hint="eastAsia"/>
          <w:sz w:val="28"/>
          <w:szCs w:val="28"/>
        </w:rPr>
        <w:t>1</w:t>
      </w:r>
      <w:r>
        <w:rPr>
          <w:sz w:val="28"/>
          <w:szCs w:val="28"/>
        </w:rPr>
        <w:t>028@163.com</w:t>
      </w:r>
    </w:p>
    <w:p>
      <w:pPr>
        <w:pStyle w:val="17"/>
        <w:spacing w:after="0"/>
        <w:ind w:firstLine="560"/>
        <w:contextualSpacing/>
        <w:rPr>
          <w:sz w:val="28"/>
          <w:szCs w:val="28"/>
        </w:rPr>
      </w:pPr>
      <w:r>
        <w:rPr>
          <w:sz w:val="28"/>
          <w:szCs w:val="28"/>
        </w:rPr>
        <w:t>2、规划环评单位：交通运输部规划研究院</w:t>
      </w:r>
    </w:p>
    <w:p>
      <w:pPr>
        <w:pStyle w:val="17"/>
        <w:spacing w:after="0"/>
        <w:ind w:firstLine="1120" w:firstLineChars="400"/>
        <w:contextualSpacing/>
        <w:rPr>
          <w:sz w:val="28"/>
          <w:szCs w:val="28"/>
        </w:rPr>
      </w:pPr>
      <w:r>
        <w:rPr>
          <w:sz w:val="28"/>
          <w:szCs w:val="28"/>
        </w:rPr>
        <w:t>联系人：</w:t>
      </w:r>
      <w:r>
        <w:rPr>
          <w:rFonts w:hint="eastAsia"/>
          <w:sz w:val="28"/>
          <w:szCs w:val="28"/>
        </w:rPr>
        <w:t>肖杨</w:t>
      </w:r>
    </w:p>
    <w:p>
      <w:pPr>
        <w:pStyle w:val="17"/>
        <w:spacing w:after="0"/>
        <w:ind w:firstLine="1120" w:firstLineChars="400"/>
        <w:contextualSpacing/>
        <w:rPr>
          <w:sz w:val="28"/>
          <w:szCs w:val="28"/>
        </w:rPr>
      </w:pPr>
      <w:r>
        <w:rPr>
          <w:sz w:val="28"/>
          <w:szCs w:val="28"/>
        </w:rPr>
        <w:t>电话：010-57802672</w:t>
      </w:r>
    </w:p>
    <w:p>
      <w:pPr>
        <w:pStyle w:val="17"/>
        <w:spacing w:after="0"/>
        <w:ind w:firstLine="1120" w:firstLineChars="400"/>
        <w:contextualSpacing/>
        <w:rPr>
          <w:sz w:val="28"/>
          <w:szCs w:val="28"/>
        </w:rPr>
      </w:pPr>
      <w:r>
        <w:rPr>
          <w:sz w:val="28"/>
          <w:szCs w:val="28"/>
        </w:rPr>
        <w:t>传真：010-57802678</w:t>
      </w:r>
    </w:p>
    <w:p>
      <w:pPr>
        <w:pStyle w:val="17"/>
        <w:spacing w:after="0"/>
        <w:ind w:firstLine="1120" w:firstLineChars="400"/>
        <w:contextualSpacing/>
        <w:rPr>
          <w:sz w:val="28"/>
          <w:szCs w:val="28"/>
        </w:rPr>
      </w:pPr>
      <w:r>
        <w:rPr>
          <w:sz w:val="28"/>
          <w:szCs w:val="28"/>
        </w:rPr>
        <w:t>邮箱：</w:t>
      </w:r>
      <w:r>
        <w:rPr>
          <w:rFonts w:hint="eastAsia"/>
          <w:sz w:val="28"/>
          <w:szCs w:val="28"/>
        </w:rPr>
        <w:t>732069343@qq.com</w:t>
      </w:r>
    </w:p>
    <w:p>
      <w:pPr>
        <w:pStyle w:val="19"/>
        <w:spacing w:after="163"/>
      </w:pPr>
      <w:r>
        <w:rPr>
          <w:rFonts w:hint="eastAsia"/>
        </w:rPr>
        <w:t>七</w:t>
      </w:r>
      <w:r>
        <w:t>、提出意见的起止时间</w:t>
      </w:r>
    </w:p>
    <w:p>
      <w:pPr>
        <w:pStyle w:val="17"/>
        <w:spacing w:after="0"/>
        <w:ind w:firstLine="560"/>
        <w:contextualSpacing/>
        <w:rPr>
          <w:sz w:val="28"/>
          <w:szCs w:val="28"/>
        </w:rPr>
      </w:pPr>
      <w:r>
        <w:rPr>
          <w:sz w:val="28"/>
          <w:szCs w:val="28"/>
        </w:rPr>
        <w:t>公示时间：自公示之日起1</w:t>
      </w:r>
      <w:r>
        <w:rPr>
          <w:rFonts w:hint="eastAsia"/>
          <w:sz w:val="28"/>
          <w:szCs w:val="28"/>
        </w:rPr>
        <w:t>0</w:t>
      </w:r>
      <w:r>
        <w:rPr>
          <w:sz w:val="28"/>
          <w:szCs w:val="28"/>
        </w:rPr>
        <w:t>个工作日。</w:t>
      </w:r>
    </w:p>
    <w:p>
      <w:pPr>
        <w:rPr>
          <w:sz w:val="28"/>
          <w:szCs w:val="28"/>
        </w:rPr>
      </w:pPr>
    </w:p>
    <w:sectPr>
      <w:type w:val="continuous"/>
      <w:pgSz w:w="11906" w:h="16838"/>
      <w:pgMar w:top="1440" w:right="1797" w:bottom="1440" w:left="1797"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893056"/>
      <w:docPartObj>
        <w:docPartGallery w:val="AutoText"/>
      </w:docPartObj>
    </w:sdtPr>
    <w:sdtContent>
      <w:p>
        <w:pPr>
          <w:pStyle w:val="7"/>
          <w:ind w:left="1260" w:hanging="420"/>
          <w:jc w:val="center"/>
        </w:pPr>
        <w:r>
          <w:fldChar w:fldCharType="begin"/>
        </w:r>
        <w:r>
          <w:instrText xml:space="preserve">PAGE   \* MERGEFORMAT</w:instrText>
        </w:r>
        <w:r>
          <w:fldChar w:fldCharType="separate"/>
        </w:r>
        <w:r>
          <w:rPr>
            <w:lang w:val="zh-CN"/>
          </w:rPr>
          <w:t>16</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67B6A"/>
    <w:multiLevelType w:val="multilevel"/>
    <w:tmpl w:val="2E367B6A"/>
    <w:lvl w:ilvl="0" w:tentative="0">
      <w:start w:val="1"/>
      <w:numFmt w:val="decimal"/>
      <w:lvlText w:val="%1."/>
      <w:lvlJc w:val="left"/>
      <w:pPr>
        <w:ind w:left="58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420593"/>
    <w:multiLevelType w:val="multilevel"/>
    <w:tmpl w:val="3B420593"/>
    <w:lvl w:ilvl="0" w:tentative="0">
      <w:start w:val="1"/>
      <w:numFmt w:val="decimal"/>
      <w:lvlText w:val="%1."/>
      <w:lvlJc w:val="left"/>
      <w:pPr>
        <w:ind w:left="580" w:hanging="36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2">
    <w:nsid w:val="534D0300"/>
    <w:multiLevelType w:val="multilevel"/>
    <w:tmpl w:val="534D03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02384B"/>
    <w:multiLevelType w:val="multilevel"/>
    <w:tmpl w:val="6202384B"/>
    <w:lvl w:ilvl="0" w:tentative="0">
      <w:start w:val="1"/>
      <w:numFmt w:val="decimal"/>
      <w:lvlText w:val="%1."/>
      <w:lvlJc w:val="left"/>
      <w:pPr>
        <w:ind w:left="580" w:hanging="360"/>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abstractNum w:abstractNumId="4">
    <w:nsid w:val="672C445D"/>
    <w:multiLevelType w:val="multilevel"/>
    <w:tmpl w:val="672C445D"/>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4FB2030"/>
    <w:multiLevelType w:val="multilevel"/>
    <w:tmpl w:val="74FB20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636173"/>
    <w:multiLevelType w:val="multilevel"/>
    <w:tmpl w:val="7B63617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NGFmODQzMjAxYzgyOWE4MGQwMDdlYWYyODA3ZDEifQ=="/>
  </w:docVars>
  <w:rsids>
    <w:rsidRoot w:val="00053FD7"/>
    <w:rsid w:val="00053FD7"/>
    <w:rsid w:val="00064E17"/>
    <w:rsid w:val="00212095"/>
    <w:rsid w:val="00233F56"/>
    <w:rsid w:val="002C27AF"/>
    <w:rsid w:val="003307D6"/>
    <w:rsid w:val="004B671E"/>
    <w:rsid w:val="00672F48"/>
    <w:rsid w:val="006740EC"/>
    <w:rsid w:val="007C527B"/>
    <w:rsid w:val="00B8063F"/>
    <w:rsid w:val="00BE6E6D"/>
    <w:rsid w:val="00CE7D19"/>
    <w:rsid w:val="00F50D20"/>
    <w:rsid w:val="1F732955"/>
    <w:rsid w:val="5D820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next w:val="1"/>
    <w:link w:val="11"/>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paragraph" w:styleId="5">
    <w:name w:val="heading 2"/>
    <w:next w:val="1"/>
    <w:link w:val="12"/>
    <w:unhideWhenUsed/>
    <w:qFormat/>
    <w:uiPriority w:val="0"/>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lang w:val="en-US" w:eastAsia="zh-CN" w:bidi="ar-SA"/>
    </w:rPr>
  </w:style>
  <w:style w:type="paragraph" w:styleId="6">
    <w:name w:val="heading 3"/>
    <w:basedOn w:val="1"/>
    <w:next w:val="1"/>
    <w:link w:val="13"/>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15"/>
    <w:qFormat/>
    <w:uiPriority w:val="0"/>
    <w:pPr>
      <w:ind w:firstLine="420"/>
    </w:pPr>
    <w:rPr>
      <w:rFonts w:hint="eastAsia" w:ascii="宋体" w:hAnsi="宋体"/>
      <w:szCs w:val="21"/>
    </w:rPr>
  </w:style>
  <w:style w:type="paragraph" w:styleId="3">
    <w:name w:val="Body Text Indent"/>
    <w:basedOn w:val="1"/>
    <w:link w:val="14"/>
    <w:semiHidden/>
    <w:unhideWhenUsed/>
    <w:uiPriority w:val="99"/>
    <w:pPr>
      <w:spacing w:after="120"/>
      <w:ind w:left="420" w:leftChars="200"/>
    </w:pPr>
  </w:style>
  <w:style w:type="paragraph" w:styleId="7">
    <w:name w:val="footer"/>
    <w:basedOn w:val="1"/>
    <w:link w:val="27"/>
    <w:unhideWhenUsed/>
    <w:qFormat/>
    <w:uiPriority w:val="0"/>
    <w:pPr>
      <w:tabs>
        <w:tab w:val="center" w:pos="4153"/>
        <w:tab w:val="right" w:pos="8306"/>
      </w:tabs>
      <w:snapToGrid w:val="0"/>
      <w:jc w:val="left"/>
    </w:pPr>
    <w:rPr>
      <w:sz w:val="18"/>
      <w:szCs w:val="18"/>
    </w:rPr>
  </w:style>
  <w:style w:type="paragraph" w:styleId="8">
    <w:name w:val="header"/>
    <w:basedOn w:val="1"/>
    <w:link w:val="2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1">
    <w:name w:val="标题 1 Char"/>
    <w:basedOn w:val="10"/>
    <w:link w:val="4"/>
    <w:qFormat/>
    <w:uiPriority w:val="0"/>
    <w:rPr>
      <w:b/>
      <w:bCs/>
      <w:kern w:val="44"/>
      <w:sz w:val="44"/>
      <w:szCs w:val="44"/>
    </w:rPr>
  </w:style>
  <w:style w:type="character" w:customStyle="1" w:styleId="12">
    <w:name w:val="标题 2 Char"/>
    <w:basedOn w:val="10"/>
    <w:link w:val="5"/>
    <w:qFormat/>
    <w:uiPriority w:val="0"/>
    <w:rPr>
      <w:rFonts w:asciiTheme="majorHAnsi" w:hAnsiTheme="majorHAnsi" w:eastAsiaTheme="majorEastAsia" w:cstheme="majorBidi"/>
      <w:b/>
      <w:bCs/>
      <w:sz w:val="32"/>
      <w:szCs w:val="32"/>
    </w:rPr>
  </w:style>
  <w:style w:type="character" w:customStyle="1" w:styleId="13">
    <w:name w:val="标题 3 Char"/>
    <w:basedOn w:val="10"/>
    <w:link w:val="6"/>
    <w:qFormat/>
    <w:uiPriority w:val="0"/>
    <w:rPr>
      <w:b/>
      <w:bCs/>
      <w:sz w:val="32"/>
      <w:szCs w:val="32"/>
    </w:rPr>
  </w:style>
  <w:style w:type="character" w:customStyle="1" w:styleId="14">
    <w:name w:val="正文文本缩进 Char"/>
    <w:basedOn w:val="10"/>
    <w:link w:val="3"/>
    <w:semiHidden/>
    <w:uiPriority w:val="99"/>
  </w:style>
  <w:style w:type="character" w:customStyle="1" w:styleId="15">
    <w:name w:val="正文首行缩进 2 Char"/>
    <w:basedOn w:val="14"/>
    <w:link w:val="2"/>
    <w:qFormat/>
    <w:uiPriority w:val="0"/>
    <w:rPr>
      <w:rFonts w:ascii="宋体" w:hAnsi="宋体"/>
      <w:szCs w:val="21"/>
    </w:rPr>
  </w:style>
  <w:style w:type="paragraph" w:customStyle="1" w:styleId="16">
    <w:name w:val="！3级标题"/>
    <w:qFormat/>
    <w:uiPriority w:val="0"/>
    <w:pPr>
      <w:widowControl w:val="0"/>
      <w:spacing w:beforeLines="50" w:afterLines="50" w:line="360" w:lineRule="auto"/>
      <w:jc w:val="both"/>
      <w:outlineLvl w:val="2"/>
    </w:pPr>
    <w:rPr>
      <w:rFonts w:ascii="Times New Roman" w:hAnsi="Times New Roman" w:eastAsia="黑体" w:cs="Times New Roman"/>
      <w:kern w:val="2"/>
      <w:sz w:val="28"/>
      <w:szCs w:val="28"/>
      <w:lang w:val="en-US" w:eastAsia="zh-CN" w:bidi="ar-SA"/>
    </w:rPr>
  </w:style>
  <w:style w:type="paragraph" w:customStyle="1" w:styleId="17">
    <w:name w:val="样式 小四 段后: 6 磅 行距: 1.5 倍行距"/>
    <w:basedOn w:val="1"/>
    <w:qFormat/>
    <w:uiPriority w:val="0"/>
    <w:pPr>
      <w:spacing w:after="80" w:line="360" w:lineRule="auto"/>
      <w:ind w:firstLine="200" w:firstLineChars="200"/>
    </w:pPr>
    <w:rPr>
      <w:rFonts w:ascii="Times New Roman" w:hAnsi="Times New Roman" w:eastAsia="宋体" w:cs="宋体"/>
      <w:sz w:val="24"/>
      <w:szCs w:val="20"/>
    </w:rPr>
  </w:style>
  <w:style w:type="paragraph" w:customStyle="1" w:styleId="18">
    <w:name w:val="样式 标题 2 + Times New Roman 四号 非加粗"/>
    <w:basedOn w:val="5"/>
    <w:qFormat/>
    <w:uiPriority w:val="99"/>
    <w:pPr>
      <w:tabs>
        <w:tab w:val="left" w:pos="720"/>
      </w:tabs>
      <w:spacing w:beforeLines="50" w:after="0" w:line="360" w:lineRule="auto"/>
    </w:pPr>
    <w:rPr>
      <w:rFonts w:ascii="Times New Roman" w:hAnsi="Times New Roman" w:eastAsia="黑体" w:cs="Times New Roman"/>
      <w:b w:val="0"/>
      <w:bCs w:val="0"/>
      <w:sz w:val="30"/>
      <w:szCs w:val="30"/>
    </w:rPr>
  </w:style>
  <w:style w:type="paragraph" w:customStyle="1" w:styleId="19">
    <w:name w:val="！2级标题"/>
    <w:basedOn w:val="5"/>
    <w:qFormat/>
    <w:uiPriority w:val="0"/>
    <w:pPr>
      <w:keepNext w:val="0"/>
      <w:keepLines w:val="0"/>
      <w:spacing w:before="240" w:afterLines="50" w:line="360" w:lineRule="auto"/>
      <w:jc w:val="left"/>
    </w:pPr>
    <w:rPr>
      <w:rFonts w:ascii="Times New Roman" w:hAnsi="Times New Roman" w:eastAsia="黑体" w:cs="Times New Roman"/>
      <w:b w:val="0"/>
      <w:bCs w:val="0"/>
      <w:smallCaps/>
      <w:sz w:val="30"/>
      <w:szCs w:val="28"/>
      <w:lang w:bidi="en-US"/>
    </w:rPr>
  </w:style>
  <w:style w:type="paragraph" w:customStyle="1" w:styleId="20">
    <w:name w:val="表格题注"/>
    <w:basedOn w:val="1"/>
    <w:qFormat/>
    <w:uiPriority w:val="0"/>
    <w:pPr>
      <w:keepNext/>
      <w:snapToGrid w:val="0"/>
      <w:spacing w:before="240" w:after="120"/>
      <w:jc w:val="center"/>
    </w:pPr>
    <w:rPr>
      <w:rFonts w:ascii="黑体" w:hAnsi="Arial" w:eastAsia="黑体" w:cs="Times New Roman"/>
      <w:kern w:val="0"/>
      <w:szCs w:val="20"/>
    </w:rPr>
  </w:style>
  <w:style w:type="paragraph" w:customStyle="1" w:styleId="21">
    <w:name w:val="！正文文本"/>
    <w:basedOn w:val="1"/>
    <w:link w:val="22"/>
    <w:qFormat/>
    <w:uiPriority w:val="0"/>
    <w:pPr>
      <w:spacing w:after="120" w:line="360" w:lineRule="auto"/>
      <w:ind w:firstLine="200" w:firstLineChars="200"/>
    </w:pPr>
    <w:rPr>
      <w:rFonts w:ascii="Times New Roman" w:hAnsi="Times New Roman" w:eastAsia="宋体" w:cs="Times New Roman"/>
      <w:kern w:val="0"/>
      <w:sz w:val="24"/>
      <w:szCs w:val="20"/>
      <w:lang w:val="zh-CN"/>
    </w:rPr>
  </w:style>
  <w:style w:type="character" w:customStyle="1" w:styleId="22">
    <w:name w:val="！正文文本 Char"/>
    <w:link w:val="21"/>
    <w:qFormat/>
    <w:uiPriority w:val="0"/>
    <w:rPr>
      <w:rFonts w:ascii="Times New Roman" w:hAnsi="Times New Roman" w:eastAsia="宋体" w:cs="Times New Roman"/>
      <w:kern w:val="0"/>
      <w:sz w:val="24"/>
      <w:szCs w:val="20"/>
      <w:lang w:val="zh-CN"/>
    </w:rPr>
  </w:style>
  <w:style w:type="paragraph" w:customStyle="1" w:styleId="23">
    <w:name w:val="！正文"/>
    <w:basedOn w:val="1"/>
    <w:link w:val="24"/>
    <w:qFormat/>
    <w:uiPriority w:val="0"/>
    <w:pPr>
      <w:spacing w:after="120" w:line="360" w:lineRule="auto"/>
      <w:ind w:firstLine="200" w:firstLineChars="200"/>
    </w:pPr>
    <w:rPr>
      <w:rFonts w:ascii="Times New Roman" w:hAnsi="Times New Roman" w:eastAsia="宋体" w:cs="Times New Roman"/>
      <w:kern w:val="0"/>
      <w:sz w:val="24"/>
      <w:szCs w:val="20"/>
      <w:lang w:bidi="en-US"/>
    </w:rPr>
  </w:style>
  <w:style w:type="character" w:customStyle="1" w:styleId="24">
    <w:name w:val="！正文 Char"/>
    <w:link w:val="23"/>
    <w:qFormat/>
    <w:uiPriority w:val="0"/>
    <w:rPr>
      <w:rFonts w:ascii="Times New Roman" w:hAnsi="Times New Roman" w:eastAsia="宋体" w:cs="Times New Roman"/>
      <w:kern w:val="0"/>
      <w:sz w:val="24"/>
      <w:szCs w:val="20"/>
      <w:lang w:bidi="en-US"/>
    </w:rPr>
  </w:style>
  <w:style w:type="paragraph" w:customStyle="1" w:styleId="25">
    <w:name w:val="样式1"/>
    <w:basedOn w:val="1"/>
    <w:uiPriority w:val="0"/>
    <w:pPr>
      <w:widowControl/>
      <w:spacing w:after="120" w:line="360" w:lineRule="auto"/>
      <w:ind w:firstLine="480" w:firstLineChars="200"/>
    </w:pPr>
    <w:rPr>
      <w:rFonts w:ascii="Times New Roman" w:hAnsi="Times New Roman" w:eastAsia="宋体" w:cs="宋体"/>
      <w:color w:val="000000"/>
      <w:kern w:val="0"/>
      <w:sz w:val="24"/>
      <w:szCs w:val="20"/>
    </w:rPr>
  </w:style>
  <w:style w:type="character" w:customStyle="1" w:styleId="26">
    <w:name w:val="页眉 Char"/>
    <w:basedOn w:val="10"/>
    <w:link w:val="8"/>
    <w:uiPriority w:val="99"/>
    <w:rPr>
      <w:sz w:val="18"/>
      <w:szCs w:val="18"/>
    </w:rPr>
  </w:style>
  <w:style w:type="character" w:customStyle="1" w:styleId="27">
    <w:name w:val="页脚 Char"/>
    <w:basedOn w:val="10"/>
    <w:link w:val="7"/>
    <w:qFormat/>
    <w:uiPriority w:val="99"/>
    <w:rPr>
      <w:sz w:val="18"/>
      <w:szCs w:val="18"/>
    </w:rPr>
  </w:style>
  <w:style w:type="paragraph" w:styleId="28">
    <w:name w:val="List Paragraph"/>
    <w:basedOn w:val="1"/>
    <w:qFormat/>
    <w:uiPriority w:val="34"/>
    <w:pPr>
      <w:adjustRightInd w:val="0"/>
      <w:snapToGrid w:val="0"/>
      <w:spacing w:line="360" w:lineRule="auto"/>
      <w:ind w:firstLine="420" w:firstLineChars="200"/>
    </w:pPr>
    <w:rPr>
      <w:rFonts w:ascii="Times New Roman" w:hAnsi="Times New Roman" w:eastAsia="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10445</Words>
  <Characters>11123</Characters>
  <Lines>80</Lines>
  <Paragraphs>22</Paragraphs>
  <TotalTime>16</TotalTime>
  <ScaleCrop>false</ScaleCrop>
  <LinksUpToDate>false</LinksUpToDate>
  <CharactersWithSpaces>11134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2024-05-09T11:19:00Z</dcterms:created>
  <dc:creator>用户</dc:creator>
  <cp:lastModifiedBy>老酒</cp:lastModifiedBy>
  <dcterms:modified xsi:type="dcterms:W3CDTF">2024-07-15T07:24:55Z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3B14FF8E9963473B9A1B98E42C58D4D5_13</vt:lpwstr>
  </property>
</Properties>
</file>